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48B7B">
      <w:pPr>
        <w:pStyle w:val="8"/>
        <w:spacing w:line="560" w:lineRule="exact"/>
        <w:jc w:val="center"/>
        <w:rPr>
          <w:rFonts w:ascii="方正小标宋简体" w:eastAsia="方正小标宋简体" w:cs="方正小标宋简体"/>
          <w:sz w:val="44"/>
          <w:szCs w:val="44"/>
        </w:rPr>
      </w:pPr>
    </w:p>
    <w:p w14:paraId="09B7B757">
      <w:pPr>
        <w:pStyle w:val="8"/>
        <w:spacing w:line="560" w:lineRule="exact"/>
        <w:jc w:val="center"/>
        <w:rPr>
          <w:rFonts w:ascii="方正小标宋简体" w:eastAsia="方正小标宋简体" w:cs="方正小标宋简体"/>
          <w:sz w:val="44"/>
          <w:szCs w:val="44"/>
        </w:rPr>
      </w:pPr>
    </w:p>
    <w:p w14:paraId="68014D49">
      <w:pPr>
        <w:pStyle w:val="8"/>
        <w:spacing w:line="560" w:lineRule="exact"/>
        <w:jc w:val="center"/>
        <w:rPr>
          <w:rFonts w:ascii="方正小标宋简体" w:eastAsia="方正小标宋简体" w:cs="方正小标宋简体"/>
          <w:sz w:val="44"/>
          <w:szCs w:val="44"/>
        </w:rPr>
      </w:pPr>
    </w:p>
    <w:p w14:paraId="14FECAB4">
      <w:pPr>
        <w:pStyle w:val="8"/>
        <w:spacing w:line="560" w:lineRule="exact"/>
        <w:jc w:val="center"/>
        <w:rPr>
          <w:rFonts w:ascii="方正小标宋简体" w:eastAsia="方正小标宋简体" w:cs="方正小标宋简体"/>
          <w:sz w:val="44"/>
          <w:szCs w:val="44"/>
        </w:rPr>
      </w:pPr>
    </w:p>
    <w:p w14:paraId="0DB3256C">
      <w:pPr>
        <w:pStyle w:val="8"/>
        <w:spacing w:line="560"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惠州市2022年涉农统筹整合转移支付</w:t>
      </w:r>
    </w:p>
    <w:p w14:paraId="2CAF6565">
      <w:pPr>
        <w:pStyle w:val="8"/>
        <w:spacing w:line="560"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区域绩效自评报告</w:t>
      </w:r>
    </w:p>
    <w:p w14:paraId="5FD1A044">
      <w:pPr>
        <w:pStyle w:val="9"/>
        <w:spacing w:line="560" w:lineRule="exact"/>
        <w:ind w:left="0" w:leftChars="0"/>
        <w:rPr>
          <w:rFonts w:ascii="楷体" w:eastAsia="楷体" w:cs="楷体"/>
          <w:sz w:val="32"/>
          <w:szCs w:val="32"/>
        </w:rPr>
      </w:pPr>
    </w:p>
    <w:p w14:paraId="07FE42F9">
      <w:pPr>
        <w:pStyle w:val="8"/>
        <w:spacing w:line="560" w:lineRule="exact"/>
        <w:jc w:val="center"/>
        <w:rPr>
          <w:rFonts w:ascii="仿宋_GB2312" w:cs="仿宋_GB2312"/>
          <w:szCs w:val="32"/>
        </w:rPr>
      </w:pPr>
    </w:p>
    <w:p w14:paraId="405BFE02">
      <w:pPr>
        <w:pStyle w:val="8"/>
        <w:spacing w:line="560" w:lineRule="exact"/>
        <w:jc w:val="center"/>
        <w:rPr>
          <w:rFonts w:ascii="仿宋_GB2312" w:cs="仿宋_GB2312"/>
          <w:szCs w:val="32"/>
        </w:rPr>
      </w:pPr>
    </w:p>
    <w:p w14:paraId="242C6B5E">
      <w:pPr>
        <w:pStyle w:val="8"/>
        <w:spacing w:line="560" w:lineRule="exact"/>
        <w:jc w:val="center"/>
        <w:rPr>
          <w:rFonts w:ascii="仿宋_GB2312" w:cs="仿宋_GB2312"/>
          <w:szCs w:val="32"/>
        </w:rPr>
      </w:pPr>
    </w:p>
    <w:p w14:paraId="571FCA6A">
      <w:pPr>
        <w:pStyle w:val="8"/>
        <w:spacing w:line="560" w:lineRule="exact"/>
        <w:jc w:val="center"/>
        <w:rPr>
          <w:rFonts w:ascii="仿宋_GB2312" w:cs="仿宋_GB2312"/>
          <w:szCs w:val="32"/>
        </w:rPr>
      </w:pPr>
    </w:p>
    <w:p w14:paraId="79A53978">
      <w:pPr>
        <w:pStyle w:val="8"/>
        <w:spacing w:line="560" w:lineRule="exact"/>
        <w:jc w:val="center"/>
        <w:rPr>
          <w:rFonts w:ascii="仿宋_GB2312" w:cs="仿宋_GB2312"/>
          <w:szCs w:val="32"/>
        </w:rPr>
      </w:pPr>
    </w:p>
    <w:p w14:paraId="529A9F30">
      <w:pPr>
        <w:pStyle w:val="8"/>
        <w:spacing w:line="560" w:lineRule="exact"/>
        <w:jc w:val="center"/>
        <w:rPr>
          <w:rFonts w:ascii="仿宋_GB2312" w:cs="仿宋_GB2312"/>
          <w:szCs w:val="32"/>
        </w:rPr>
      </w:pPr>
    </w:p>
    <w:p w14:paraId="10D9D22D">
      <w:pPr>
        <w:pStyle w:val="8"/>
        <w:spacing w:line="560" w:lineRule="exact"/>
        <w:jc w:val="center"/>
        <w:rPr>
          <w:rFonts w:ascii="仿宋_GB2312" w:cs="仿宋_GB2312"/>
          <w:szCs w:val="32"/>
        </w:rPr>
      </w:pPr>
    </w:p>
    <w:p w14:paraId="0F60C4BE">
      <w:pPr>
        <w:pStyle w:val="8"/>
        <w:spacing w:line="560" w:lineRule="exact"/>
        <w:jc w:val="left"/>
        <w:rPr>
          <w:rFonts w:ascii="仿宋_GB2312" w:cs="仿宋_GB2312"/>
          <w:szCs w:val="32"/>
        </w:rPr>
      </w:pPr>
    </w:p>
    <w:p w14:paraId="0E686FF0">
      <w:pPr>
        <w:pStyle w:val="8"/>
        <w:spacing w:line="560" w:lineRule="exact"/>
        <w:jc w:val="left"/>
        <w:rPr>
          <w:rFonts w:ascii="仿宋_GB2312" w:cs="仿宋_GB2312"/>
          <w:szCs w:val="32"/>
        </w:rPr>
      </w:pPr>
      <w:r>
        <w:rPr>
          <w:rFonts w:hint="eastAsia" w:ascii="仿宋_GB2312" w:cs="仿宋_GB2312"/>
          <w:szCs w:val="32"/>
        </w:rPr>
        <w:t xml:space="preserve">        </w:t>
      </w:r>
    </w:p>
    <w:p w14:paraId="579B0588">
      <w:pPr>
        <w:pStyle w:val="8"/>
        <w:spacing w:line="560" w:lineRule="exact"/>
        <w:jc w:val="left"/>
        <w:rPr>
          <w:rFonts w:ascii="仿宋_GB2312" w:cs="仿宋_GB2312"/>
          <w:szCs w:val="32"/>
        </w:rPr>
      </w:pPr>
    </w:p>
    <w:p w14:paraId="713006D9">
      <w:pPr>
        <w:pStyle w:val="8"/>
        <w:spacing w:line="560" w:lineRule="exact"/>
        <w:ind w:firstLine="1280" w:firstLineChars="400"/>
        <w:jc w:val="left"/>
        <w:rPr>
          <w:rFonts w:ascii="仿宋_GB2312" w:cs="仿宋_GB2312"/>
          <w:szCs w:val="32"/>
        </w:rPr>
      </w:pPr>
      <w:r>
        <w:rPr>
          <w:rFonts w:hint="eastAsia" w:ascii="仿宋_GB2312" w:cs="仿宋_GB2312"/>
          <w:szCs w:val="32"/>
        </w:rPr>
        <w:t>填报单位名称：惠州市涉农资金统筹整合领导小组</w:t>
      </w:r>
    </w:p>
    <w:p w14:paraId="5A83A7DE">
      <w:pPr>
        <w:pStyle w:val="8"/>
        <w:spacing w:line="560" w:lineRule="exact"/>
        <w:jc w:val="left"/>
        <w:rPr>
          <w:rFonts w:ascii="仿宋_GB2312" w:cs="仿宋_GB2312"/>
          <w:szCs w:val="32"/>
        </w:rPr>
      </w:pPr>
      <w:r>
        <w:rPr>
          <w:rFonts w:hint="eastAsia" w:ascii="仿宋_GB2312" w:cs="仿宋_GB2312"/>
          <w:szCs w:val="32"/>
        </w:rPr>
        <w:t xml:space="preserve">                      办公室</w:t>
      </w:r>
    </w:p>
    <w:p w14:paraId="07CBE55D">
      <w:pPr>
        <w:pStyle w:val="8"/>
        <w:spacing w:line="560" w:lineRule="exact"/>
        <w:jc w:val="left"/>
        <w:rPr>
          <w:rFonts w:ascii="仿宋_GB2312" w:cs="仿宋_GB2312"/>
          <w:szCs w:val="32"/>
        </w:rPr>
      </w:pPr>
      <w:r>
        <w:rPr>
          <w:rFonts w:hint="eastAsia" w:ascii="仿宋_GB2312" w:cs="仿宋_GB2312"/>
          <w:szCs w:val="32"/>
        </w:rPr>
        <w:t xml:space="preserve">        填   报   人：邓丽妆</w:t>
      </w:r>
    </w:p>
    <w:p w14:paraId="342AE1F9">
      <w:pPr>
        <w:pStyle w:val="8"/>
        <w:spacing w:line="560" w:lineRule="exact"/>
        <w:jc w:val="left"/>
        <w:rPr>
          <w:rFonts w:ascii="仿宋_GB2312" w:cs="仿宋_GB2312"/>
          <w:szCs w:val="32"/>
        </w:rPr>
      </w:pPr>
      <w:r>
        <w:rPr>
          <w:rFonts w:hint="eastAsia" w:ascii="仿宋_GB2312" w:cs="仿宋_GB2312"/>
          <w:szCs w:val="32"/>
        </w:rPr>
        <w:t xml:space="preserve">        联 系 电  话：0752-2881809</w:t>
      </w:r>
    </w:p>
    <w:p w14:paraId="6C2BE858">
      <w:pPr>
        <w:pStyle w:val="8"/>
        <w:spacing w:line="560" w:lineRule="exact"/>
        <w:jc w:val="left"/>
        <w:rPr>
          <w:rFonts w:ascii="仿宋_GB2312" w:cs="仿宋_GB2312"/>
          <w:szCs w:val="32"/>
        </w:rPr>
      </w:pPr>
      <w:r>
        <w:rPr>
          <w:rFonts w:hint="eastAsia" w:ascii="仿宋_GB2312" w:cs="仿宋_GB2312"/>
          <w:szCs w:val="32"/>
        </w:rPr>
        <w:t xml:space="preserve">        填 报 日  期：2023.04</w:t>
      </w:r>
    </w:p>
    <w:p w14:paraId="6B7D5E78">
      <w:pPr>
        <w:pStyle w:val="8"/>
        <w:spacing w:line="560" w:lineRule="exact"/>
        <w:rPr>
          <w:rFonts w:ascii="仿宋_GB2312"/>
          <w:szCs w:val="32"/>
        </w:rPr>
      </w:pPr>
      <w:r>
        <w:rPr>
          <w:rFonts w:hint="eastAsia" w:ascii="仿宋_GB2312" w:cs="仿宋_GB2312"/>
          <w:szCs w:val="32"/>
        </w:rPr>
        <w:br w:type="page"/>
      </w:r>
      <w:r>
        <w:rPr>
          <w:rFonts w:hint="eastAsia" w:ascii="仿宋_GB2312" w:cs="仿宋_GB2312"/>
          <w:szCs w:val="32"/>
        </w:rPr>
        <w:t xml:space="preserve">   </w:t>
      </w:r>
      <w:r>
        <w:rPr>
          <w:rFonts w:hint="eastAsia" w:ascii="仿宋_GB2312"/>
          <w:szCs w:val="32"/>
        </w:rPr>
        <w:t xml:space="preserve"> </w:t>
      </w:r>
      <w:r>
        <w:rPr>
          <w:rFonts w:hint="eastAsia" w:ascii="黑体" w:eastAsia="黑体"/>
          <w:szCs w:val="32"/>
        </w:rPr>
        <w:t>一、涉农资金统筹整合组织实施整体情况</w:t>
      </w:r>
    </w:p>
    <w:p w14:paraId="439E0E04">
      <w:pPr>
        <w:pStyle w:val="12"/>
        <w:spacing w:line="560" w:lineRule="exact"/>
        <w:rPr>
          <w:rFonts w:eastAsia="仿宋"/>
          <w:sz w:val="32"/>
          <w:szCs w:val="32"/>
        </w:rPr>
      </w:pPr>
      <w:r>
        <w:rPr>
          <w:rFonts w:eastAsia="仿宋"/>
          <w:sz w:val="32"/>
          <w:szCs w:val="32"/>
        </w:rPr>
        <w:t xml:space="preserve">    2022</w:t>
      </w:r>
      <w:r>
        <w:rPr>
          <w:rFonts w:hint="eastAsia" w:eastAsia="仿宋"/>
          <w:sz w:val="32"/>
          <w:szCs w:val="32"/>
        </w:rPr>
        <w:t>年，我市全面贯彻落实习近平总书记有关“三农”工作的重要讲话及重要指示批示精神，认真落实省委、省政府关于进一步加强涉农资金统筹整合的要求，市委、市政府高位推进全市涉农资金统筹整合改革工作，高规格、高层次、多形式部署改革工作。市涉农资金统筹改革领导小组及办公室围绕全面实施乡村振兴战略目标，突出重点，改革创新，不断深化我市涉农资金统筹整合改革，成效明显。</w:t>
      </w:r>
    </w:p>
    <w:p w14:paraId="218C8300">
      <w:pPr>
        <w:pStyle w:val="7"/>
        <w:numPr>
          <w:ilvl w:val="0"/>
          <w:numId w:val="1"/>
        </w:numPr>
        <w:spacing w:line="560" w:lineRule="exact"/>
        <w:ind w:firstLine="640" w:firstLineChars="200"/>
        <w:rPr>
          <w:rFonts w:eastAsia="楷体"/>
          <w:sz w:val="32"/>
          <w:szCs w:val="32"/>
        </w:rPr>
      </w:pPr>
      <w:r>
        <w:rPr>
          <w:rFonts w:hint="eastAsia" w:eastAsia="楷体"/>
          <w:sz w:val="32"/>
          <w:szCs w:val="32"/>
        </w:rPr>
        <w:t>建立健全工作机制，运行稳健有序高效。</w:t>
      </w:r>
    </w:p>
    <w:p w14:paraId="268A5EC8">
      <w:pPr>
        <w:pStyle w:val="12"/>
        <w:spacing w:line="560" w:lineRule="exact"/>
        <w:ind w:firstLine="640" w:firstLineChars="200"/>
        <w:rPr>
          <w:rFonts w:eastAsia="仿宋"/>
          <w:sz w:val="32"/>
          <w:szCs w:val="32"/>
        </w:rPr>
      </w:pPr>
      <w:r>
        <w:rPr>
          <w:rFonts w:hint="eastAsia" w:eastAsia="仿宋"/>
          <w:sz w:val="32"/>
          <w:szCs w:val="32"/>
        </w:rPr>
        <w:t>自2019年启动涉农资金统筹整合改革后，我市迅速成立了市涉农资金统筹整合领导小组，由市政府主要领导担任组长，分管财政、农业的副市长担任副组长，市财政局和涉农相关部门负责人为领导小组成员，负责指导涉农资金统筹整合工作，协调解决有关重大问题。领导小组下设办公室（设在市财政局），承担具体事务，市直涉农部门按照职责分工各司其职，各县（区）相应成立以县（区）长为组长的领导机构，形成了责任明晰、权责匹配、上下联动、协调配合的工作格局，为全面高效有序推进改革提供了强有力的组织保障。2022年，召开市政府常务会议（套开市涉农资金统筹整合领导小组会议）共4次，听取我市涉农资金改革整体情况，研究和部署相关工作，提出强化资金管理具体部署和要求，明确我市2022年度涉农资金支持的重点方向，审定省级涉农资金拟报备项目和区域绩效目标、市级涉农资金分配方案，拟报省申请补助项目等。</w:t>
      </w:r>
    </w:p>
    <w:p w14:paraId="2562F8F2">
      <w:pPr>
        <w:pStyle w:val="10"/>
        <w:spacing w:line="560" w:lineRule="exact"/>
        <w:ind w:left="0" w:leftChars="0" w:firstLine="640" w:firstLineChars="200"/>
        <w:rPr>
          <w:rFonts w:eastAsia="楷体" w:cs="Times New Roman"/>
          <w:sz w:val="32"/>
          <w:szCs w:val="32"/>
        </w:rPr>
      </w:pPr>
      <w:r>
        <w:rPr>
          <w:rFonts w:hint="eastAsia" w:eastAsia="楷体" w:cs="Times New Roman"/>
          <w:sz w:val="32"/>
          <w:szCs w:val="32"/>
        </w:rPr>
        <w:t>（二）遵循资金分配原则，突出项目投入重点。</w:t>
      </w:r>
    </w:p>
    <w:p w14:paraId="60F53108">
      <w:pPr>
        <w:pStyle w:val="15"/>
        <w:pBdr>
          <w:bottom w:val="single" w:color="FFFFFF" w:sz="4" w:space="31"/>
        </w:pBdr>
        <w:adjustRightInd w:val="0"/>
        <w:snapToGrid w:val="0"/>
        <w:spacing w:line="560" w:lineRule="exact"/>
        <w:ind w:firstLine="640" w:firstLineChars="200"/>
        <w:rPr>
          <w:rFonts w:eastAsia="仿宋"/>
          <w:sz w:val="32"/>
          <w:szCs w:val="32"/>
        </w:rPr>
      </w:pPr>
      <w:r>
        <w:rPr>
          <w:rFonts w:hint="eastAsia" w:eastAsia="仿宋"/>
          <w:sz w:val="32"/>
          <w:szCs w:val="32"/>
        </w:rPr>
        <w:t>我市涉农资金分配坚持按照集中财力办大事的原则，在优先确保完成考核工作任务的基础上，聚焦我市乡村振兴短板弱项，在经省联合审查通过的项目中，根据可实施条件选择实施项目。2022年，我市涉农资金在保障省涉农领域考核任务的前提下，结合《广东省涉农资金统筹整合领导小组办公室关于进一步统筹涉农资金做好乡村振兴大事要事保障的意见》（粤涉农办〔2021〕10号）有关要求，重点推进农村生活污水治理、高标准农田建设和中小河流治理等任务。</w:t>
      </w:r>
    </w:p>
    <w:p w14:paraId="3966E6EF">
      <w:pPr>
        <w:pStyle w:val="15"/>
        <w:pBdr>
          <w:bottom w:val="single" w:color="FFFFFF" w:sz="4" w:space="31"/>
        </w:pBdr>
        <w:adjustRightInd w:val="0"/>
        <w:snapToGrid w:val="0"/>
        <w:spacing w:line="560" w:lineRule="exact"/>
        <w:ind w:firstLine="640" w:firstLineChars="200"/>
        <w:rPr>
          <w:rFonts w:eastAsia="楷体"/>
          <w:sz w:val="32"/>
          <w:szCs w:val="32"/>
        </w:rPr>
      </w:pPr>
      <w:r>
        <w:rPr>
          <w:rFonts w:hint="eastAsia" w:eastAsia="楷体"/>
          <w:sz w:val="32"/>
          <w:szCs w:val="32"/>
        </w:rPr>
        <w:t>（三）资金使用精准规范，项目实施效果显著。</w:t>
      </w:r>
    </w:p>
    <w:p w14:paraId="3BB62F4C">
      <w:pPr>
        <w:pStyle w:val="15"/>
        <w:pBdr>
          <w:bottom w:val="single" w:color="FFFFFF" w:sz="4" w:space="31"/>
        </w:pBdr>
        <w:adjustRightInd w:val="0"/>
        <w:snapToGrid w:val="0"/>
        <w:spacing w:line="560" w:lineRule="exact"/>
        <w:ind w:firstLine="640" w:firstLineChars="200"/>
        <w:rPr>
          <w:rFonts w:eastAsia="仿宋"/>
          <w:sz w:val="32"/>
          <w:szCs w:val="32"/>
        </w:rPr>
      </w:pPr>
      <w:r>
        <w:rPr>
          <w:rFonts w:hint="eastAsia" w:eastAsia="仿宋"/>
          <w:sz w:val="32"/>
          <w:szCs w:val="32"/>
        </w:rPr>
        <w:t>我市按照涉农资金管理要求和使用范围报备拟实施项目，严格执行项目安排和调整报备制度。市涉农办主动发挥牵头抓总作用，督促加快资金落实到具体项目，形成有效投资。市、县（区）级各涉农业务主管部门按照职责分工，加快组织行业内项目实施，强化监督管理，按计划完成项目投资计划和组织竣工验收。2022年共统筹</w:t>
      </w:r>
      <w:r>
        <w:rPr>
          <w:rFonts w:hint="eastAsia" w:eastAsia="仿宋"/>
          <w:sz w:val="32"/>
          <w:szCs w:val="30"/>
        </w:rPr>
        <w:t>各级</w:t>
      </w:r>
      <w:r>
        <w:rPr>
          <w:rFonts w:hint="eastAsia" w:eastAsia="仿宋"/>
          <w:sz w:val="32"/>
          <w:szCs w:val="32"/>
        </w:rPr>
        <w:t>涉农</w:t>
      </w:r>
      <w:r>
        <w:rPr>
          <w:rFonts w:hint="eastAsia" w:eastAsia="仿宋"/>
          <w:sz w:val="32"/>
          <w:szCs w:val="30"/>
        </w:rPr>
        <w:t>资金185,143万元，总体执行率</w:t>
      </w:r>
      <w:r>
        <w:rPr>
          <w:rFonts w:eastAsia="仿宋"/>
          <w:sz w:val="32"/>
          <w:szCs w:val="30"/>
        </w:rPr>
        <w:t>80%</w:t>
      </w:r>
      <w:r>
        <w:rPr>
          <w:rFonts w:hint="eastAsia" w:eastAsia="仿宋"/>
          <w:sz w:val="32"/>
          <w:szCs w:val="30"/>
        </w:rPr>
        <w:t>，安排</w:t>
      </w:r>
      <w:r>
        <w:rPr>
          <w:rFonts w:hint="eastAsia" w:eastAsia="仿宋"/>
          <w:sz w:val="32"/>
          <w:szCs w:val="32"/>
        </w:rPr>
        <w:t>项目315个，已完工276个，完工率87.6</w:t>
      </w:r>
      <w:r>
        <w:rPr>
          <w:rFonts w:eastAsia="仿宋"/>
          <w:sz w:val="32"/>
          <w:szCs w:val="32"/>
        </w:rPr>
        <w:t>%</w:t>
      </w:r>
      <w:r>
        <w:rPr>
          <w:rFonts w:hint="eastAsia" w:eastAsia="仿宋"/>
          <w:sz w:val="32"/>
          <w:szCs w:val="32"/>
        </w:rPr>
        <w:t>，项目实施效果较好。</w:t>
      </w:r>
    </w:p>
    <w:p w14:paraId="57415398">
      <w:pPr>
        <w:pStyle w:val="15"/>
        <w:numPr>
          <w:ilvl w:val="0"/>
          <w:numId w:val="2"/>
        </w:numPr>
        <w:pBdr>
          <w:bottom w:val="single" w:color="FFFFFF" w:sz="4" w:space="31"/>
        </w:pBdr>
        <w:adjustRightInd w:val="0"/>
        <w:snapToGrid w:val="0"/>
        <w:spacing w:line="560" w:lineRule="exact"/>
        <w:ind w:firstLine="640" w:firstLineChars="200"/>
        <w:rPr>
          <w:rFonts w:ascii="黑体" w:eastAsia="黑体"/>
          <w:sz w:val="32"/>
          <w:szCs w:val="32"/>
        </w:rPr>
      </w:pPr>
      <w:r>
        <w:rPr>
          <w:rFonts w:hint="eastAsia" w:ascii="黑体" w:eastAsia="黑体"/>
          <w:sz w:val="32"/>
          <w:szCs w:val="32"/>
        </w:rPr>
        <w:t>涉农资金预算及区域绩效目标分解下达情况</w:t>
      </w:r>
    </w:p>
    <w:p w14:paraId="0030D806">
      <w:pPr>
        <w:pStyle w:val="15"/>
        <w:pBdr>
          <w:bottom w:val="single" w:color="FFFFFF" w:sz="4" w:space="31"/>
        </w:pBdr>
        <w:adjustRightInd w:val="0"/>
        <w:snapToGrid w:val="0"/>
        <w:spacing w:line="560" w:lineRule="exact"/>
        <w:ind w:firstLine="640" w:firstLineChars="200"/>
        <w:rPr>
          <w:rFonts w:ascii="仿宋_GB2312" w:eastAsia="仿宋_GB2312"/>
          <w:b/>
          <w:sz w:val="32"/>
          <w:szCs w:val="32"/>
        </w:rPr>
      </w:pPr>
      <w:r>
        <w:rPr>
          <w:rFonts w:eastAsia="仿宋"/>
          <w:sz w:val="32"/>
          <w:szCs w:val="32"/>
        </w:rPr>
        <w:t>2022</w:t>
      </w:r>
      <w:r>
        <w:rPr>
          <w:rFonts w:hint="eastAsia" w:eastAsia="仿宋"/>
          <w:sz w:val="32"/>
          <w:szCs w:val="32"/>
        </w:rPr>
        <w:t>年省级共下达我市涉农统筹整合资金41</w:t>
      </w:r>
      <w:r>
        <w:rPr>
          <w:rFonts w:eastAsia="仿宋"/>
          <w:sz w:val="32"/>
          <w:szCs w:val="30"/>
        </w:rPr>
        <w:t>,</w:t>
      </w:r>
      <w:r>
        <w:rPr>
          <w:rFonts w:eastAsia="仿宋"/>
          <w:sz w:val="32"/>
          <w:szCs w:val="32"/>
        </w:rPr>
        <w:t>023.17</w:t>
      </w:r>
      <w:r>
        <w:rPr>
          <w:rFonts w:hint="eastAsia" w:eastAsia="仿宋"/>
          <w:sz w:val="32"/>
          <w:szCs w:val="32"/>
        </w:rPr>
        <w:t>万元（含市县统筹实施部分38</w:t>
      </w:r>
      <w:r>
        <w:rPr>
          <w:rFonts w:eastAsia="仿宋"/>
          <w:sz w:val="32"/>
          <w:szCs w:val="30"/>
        </w:rPr>
        <w:t>,</w:t>
      </w:r>
      <w:r>
        <w:rPr>
          <w:rFonts w:eastAsia="仿宋"/>
          <w:sz w:val="32"/>
          <w:szCs w:val="32"/>
        </w:rPr>
        <w:t>026</w:t>
      </w:r>
      <w:r>
        <w:rPr>
          <w:rFonts w:hint="eastAsia" w:eastAsia="仿宋"/>
          <w:sz w:val="32"/>
          <w:szCs w:val="32"/>
        </w:rPr>
        <w:t>万元和指定用于粮食生产非直接发放至个人部分2</w:t>
      </w:r>
      <w:r>
        <w:rPr>
          <w:rFonts w:eastAsia="仿宋"/>
          <w:sz w:val="32"/>
          <w:szCs w:val="30"/>
        </w:rPr>
        <w:t>,</w:t>
      </w:r>
      <w:r>
        <w:rPr>
          <w:rFonts w:eastAsia="仿宋"/>
          <w:sz w:val="32"/>
          <w:szCs w:val="32"/>
        </w:rPr>
        <w:t>997.17</w:t>
      </w:r>
      <w:r>
        <w:rPr>
          <w:rFonts w:hint="eastAsia" w:eastAsia="仿宋"/>
          <w:sz w:val="32"/>
          <w:szCs w:val="32"/>
        </w:rPr>
        <w:t>万元），其中：2021年11月26日收到省级涉农资金35</w:t>
      </w:r>
      <w:r>
        <w:rPr>
          <w:rFonts w:eastAsia="仿宋"/>
          <w:sz w:val="32"/>
          <w:szCs w:val="30"/>
        </w:rPr>
        <w:t>,</w:t>
      </w:r>
      <w:r>
        <w:rPr>
          <w:rFonts w:eastAsia="仿宋"/>
          <w:sz w:val="32"/>
          <w:szCs w:val="32"/>
        </w:rPr>
        <w:t>495</w:t>
      </w:r>
      <w:r>
        <w:rPr>
          <w:rFonts w:hint="eastAsia" w:eastAsia="仿宋"/>
          <w:sz w:val="32"/>
          <w:szCs w:val="32"/>
        </w:rPr>
        <w:t>万元；2022年4月7日收到省级涉农资金965万元；2022年 6月30日和7月1日分别收到省级涉农资金566万元和1</w:t>
      </w:r>
      <w:r>
        <w:rPr>
          <w:rFonts w:eastAsia="仿宋"/>
          <w:sz w:val="32"/>
          <w:szCs w:val="30"/>
        </w:rPr>
        <w:t>,</w:t>
      </w:r>
      <w:r>
        <w:rPr>
          <w:rFonts w:eastAsia="仿宋"/>
          <w:sz w:val="32"/>
          <w:szCs w:val="32"/>
        </w:rPr>
        <w:t>000</w:t>
      </w:r>
      <w:r>
        <w:rPr>
          <w:rFonts w:hint="eastAsia" w:eastAsia="仿宋"/>
          <w:sz w:val="32"/>
          <w:szCs w:val="32"/>
        </w:rPr>
        <w:t>万元；2022年9月7日和9月30日收到省级涉农资金（第一、二批粮食生产）2</w:t>
      </w:r>
      <w:r>
        <w:rPr>
          <w:rFonts w:eastAsia="仿宋"/>
          <w:sz w:val="32"/>
          <w:szCs w:val="30"/>
        </w:rPr>
        <w:t>,</w:t>
      </w:r>
      <w:r>
        <w:rPr>
          <w:rFonts w:eastAsia="仿宋"/>
          <w:sz w:val="32"/>
          <w:szCs w:val="32"/>
        </w:rPr>
        <w:t>997.17</w:t>
      </w:r>
      <w:r>
        <w:rPr>
          <w:rFonts w:hint="eastAsia" w:eastAsia="仿宋"/>
          <w:sz w:val="32"/>
          <w:szCs w:val="32"/>
        </w:rPr>
        <w:t>万元。根据省级资金下达的额度，我市分别下达市本级部门3</w:t>
      </w:r>
      <w:r>
        <w:rPr>
          <w:rFonts w:eastAsia="仿宋"/>
          <w:sz w:val="32"/>
          <w:szCs w:val="30"/>
        </w:rPr>
        <w:t>,</w:t>
      </w:r>
      <w:r>
        <w:rPr>
          <w:rFonts w:eastAsia="仿宋"/>
          <w:sz w:val="32"/>
          <w:szCs w:val="32"/>
        </w:rPr>
        <w:t>096.57</w:t>
      </w:r>
      <w:r>
        <w:rPr>
          <w:rFonts w:hint="eastAsia" w:eastAsia="仿宋"/>
          <w:sz w:val="32"/>
          <w:szCs w:val="32"/>
        </w:rPr>
        <w:t>万元，下达县（区）37</w:t>
      </w:r>
      <w:r>
        <w:rPr>
          <w:rFonts w:eastAsia="仿宋"/>
          <w:sz w:val="32"/>
          <w:szCs w:val="30"/>
        </w:rPr>
        <w:t>,</w:t>
      </w:r>
      <w:r>
        <w:rPr>
          <w:rFonts w:eastAsia="仿宋"/>
          <w:sz w:val="32"/>
          <w:szCs w:val="32"/>
        </w:rPr>
        <w:t>926.6</w:t>
      </w:r>
      <w:r>
        <w:rPr>
          <w:rFonts w:hint="eastAsia" w:eastAsia="仿宋"/>
          <w:sz w:val="32"/>
          <w:szCs w:val="32"/>
        </w:rPr>
        <w:t>万元。</w:t>
      </w:r>
      <w:r>
        <w:rPr>
          <w:rFonts w:hint="eastAsia" w:ascii="仿宋_GB2312" w:eastAsia="仿宋_GB2312"/>
          <w:b/>
          <w:sz w:val="32"/>
          <w:szCs w:val="32"/>
        </w:rPr>
        <w:t>市级转下达资金情况如下：</w:t>
      </w:r>
    </w:p>
    <w:tbl>
      <w:tblPr>
        <w:tblStyle w:val="5"/>
        <w:tblW w:w="8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2250"/>
        <w:gridCol w:w="3030"/>
      </w:tblGrid>
      <w:tr w14:paraId="6000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54" w:type="dxa"/>
            <w:tcBorders>
              <w:top w:val="single" w:color="auto" w:sz="4" w:space="0"/>
              <w:left w:val="single" w:color="auto" w:sz="4" w:space="0"/>
              <w:bottom w:val="single" w:color="auto" w:sz="4" w:space="0"/>
              <w:right w:val="single" w:color="auto" w:sz="4" w:space="0"/>
              <w:tl2br w:val="nil"/>
              <w:tr2bl w:val="nil"/>
            </w:tcBorders>
            <w:noWrap/>
          </w:tcPr>
          <w:p w14:paraId="6CDBFD92">
            <w:pPr>
              <w:pStyle w:val="8"/>
              <w:spacing w:line="560" w:lineRule="exact"/>
              <w:jc w:val="center"/>
              <w:rPr>
                <w:rFonts w:ascii="仿宋_GB2312"/>
                <w:szCs w:val="32"/>
              </w:rPr>
            </w:pPr>
            <w:r>
              <w:rPr>
                <w:rFonts w:hint="eastAsia" w:ascii="仿宋_GB2312"/>
                <w:szCs w:val="32"/>
              </w:rPr>
              <w:t>文号</w:t>
            </w:r>
          </w:p>
        </w:tc>
        <w:tc>
          <w:tcPr>
            <w:tcW w:w="2250" w:type="dxa"/>
            <w:tcBorders>
              <w:top w:val="single" w:color="auto" w:sz="4" w:space="0"/>
              <w:left w:val="single" w:color="auto" w:sz="4" w:space="0"/>
              <w:bottom w:val="single" w:color="auto" w:sz="4" w:space="0"/>
              <w:right w:val="single" w:color="auto" w:sz="4" w:space="0"/>
              <w:tl2br w:val="nil"/>
              <w:tr2bl w:val="nil"/>
            </w:tcBorders>
            <w:noWrap/>
          </w:tcPr>
          <w:p w14:paraId="4E9BCE5D">
            <w:pPr>
              <w:pStyle w:val="8"/>
              <w:spacing w:line="560" w:lineRule="exact"/>
              <w:jc w:val="center"/>
              <w:rPr>
                <w:rFonts w:ascii="仿宋_GB2312"/>
                <w:szCs w:val="32"/>
              </w:rPr>
            </w:pPr>
            <w:r>
              <w:rPr>
                <w:rFonts w:hint="eastAsia" w:ascii="仿宋_GB2312"/>
                <w:szCs w:val="32"/>
              </w:rPr>
              <w:t>金额（万元）</w:t>
            </w:r>
          </w:p>
        </w:tc>
        <w:tc>
          <w:tcPr>
            <w:tcW w:w="3030" w:type="dxa"/>
            <w:tcBorders>
              <w:top w:val="single" w:color="auto" w:sz="4" w:space="0"/>
              <w:left w:val="single" w:color="auto" w:sz="4" w:space="0"/>
              <w:bottom w:val="single" w:color="auto" w:sz="4" w:space="0"/>
              <w:right w:val="single" w:color="auto" w:sz="4" w:space="0"/>
              <w:tl2br w:val="nil"/>
              <w:tr2bl w:val="nil"/>
            </w:tcBorders>
            <w:noWrap/>
          </w:tcPr>
          <w:p w14:paraId="4A48A578">
            <w:pPr>
              <w:pStyle w:val="8"/>
              <w:spacing w:line="560" w:lineRule="exact"/>
              <w:jc w:val="center"/>
              <w:rPr>
                <w:rFonts w:ascii="仿宋_GB2312"/>
                <w:szCs w:val="32"/>
              </w:rPr>
            </w:pPr>
            <w:r>
              <w:rPr>
                <w:rFonts w:hint="eastAsia" w:ascii="仿宋_GB2312"/>
                <w:szCs w:val="32"/>
              </w:rPr>
              <w:t>日期</w:t>
            </w:r>
          </w:p>
        </w:tc>
      </w:tr>
      <w:tr w14:paraId="25B9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54" w:type="dxa"/>
            <w:tcBorders>
              <w:top w:val="single" w:color="auto" w:sz="4" w:space="0"/>
              <w:left w:val="single" w:color="auto" w:sz="4" w:space="0"/>
              <w:bottom w:val="single" w:color="auto" w:sz="4" w:space="0"/>
              <w:right w:val="single" w:color="auto" w:sz="4" w:space="0"/>
              <w:tl2br w:val="nil"/>
              <w:tr2bl w:val="nil"/>
            </w:tcBorders>
            <w:noWrap/>
          </w:tcPr>
          <w:p w14:paraId="188744F9">
            <w:pPr>
              <w:pStyle w:val="8"/>
              <w:spacing w:line="560" w:lineRule="exact"/>
              <w:rPr>
                <w:rFonts w:ascii="仿宋_GB2312"/>
                <w:szCs w:val="32"/>
              </w:rPr>
            </w:pPr>
            <w:r>
              <w:rPr>
                <w:rFonts w:hint="eastAsia" w:ascii="仿宋_GB2312"/>
                <w:szCs w:val="32"/>
              </w:rPr>
              <w:t>惠财农〔2022〕3号</w:t>
            </w:r>
          </w:p>
        </w:tc>
        <w:tc>
          <w:tcPr>
            <w:tcW w:w="2250" w:type="dxa"/>
            <w:tcBorders>
              <w:top w:val="single" w:color="auto" w:sz="4" w:space="0"/>
              <w:left w:val="single" w:color="auto" w:sz="4" w:space="0"/>
              <w:bottom w:val="single" w:color="auto" w:sz="4" w:space="0"/>
              <w:right w:val="single" w:color="auto" w:sz="4" w:space="0"/>
              <w:tl2br w:val="nil"/>
              <w:tr2bl w:val="nil"/>
            </w:tcBorders>
            <w:noWrap/>
          </w:tcPr>
          <w:p w14:paraId="186DC98B">
            <w:pPr>
              <w:pStyle w:val="8"/>
              <w:spacing w:line="560" w:lineRule="exact"/>
              <w:jc w:val="center"/>
              <w:rPr>
                <w:rFonts w:ascii="仿宋_GB2312"/>
                <w:szCs w:val="32"/>
              </w:rPr>
            </w:pPr>
            <w:r>
              <w:rPr>
                <w:rFonts w:hint="eastAsia" w:ascii="仿宋_GB2312"/>
                <w:szCs w:val="32"/>
              </w:rPr>
              <w:t>32</w:t>
            </w:r>
            <w:r>
              <w:rPr>
                <w:rFonts w:eastAsia="仿宋"/>
                <w:szCs w:val="30"/>
              </w:rPr>
              <w:t>,</w:t>
            </w:r>
            <w:r>
              <w:rPr>
                <w:rFonts w:hint="eastAsia" w:ascii="仿宋_GB2312"/>
                <w:szCs w:val="32"/>
              </w:rPr>
              <w:t>398.43</w:t>
            </w:r>
          </w:p>
        </w:tc>
        <w:tc>
          <w:tcPr>
            <w:tcW w:w="3030" w:type="dxa"/>
            <w:tcBorders>
              <w:top w:val="single" w:color="auto" w:sz="4" w:space="0"/>
              <w:left w:val="single" w:color="auto" w:sz="4" w:space="0"/>
              <w:bottom w:val="single" w:color="auto" w:sz="4" w:space="0"/>
              <w:right w:val="single" w:color="auto" w:sz="4" w:space="0"/>
              <w:tl2br w:val="nil"/>
              <w:tr2bl w:val="nil"/>
            </w:tcBorders>
            <w:noWrap/>
          </w:tcPr>
          <w:p w14:paraId="46D99F1B">
            <w:pPr>
              <w:pStyle w:val="8"/>
              <w:spacing w:line="560" w:lineRule="exact"/>
              <w:rPr>
                <w:rFonts w:ascii="仿宋_GB2312"/>
                <w:szCs w:val="32"/>
              </w:rPr>
            </w:pPr>
            <w:r>
              <w:rPr>
                <w:rFonts w:hint="eastAsia" w:ascii="仿宋_GB2312"/>
                <w:szCs w:val="32"/>
              </w:rPr>
              <w:t>2022年2月9日</w:t>
            </w:r>
          </w:p>
        </w:tc>
      </w:tr>
      <w:tr w14:paraId="3333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54" w:type="dxa"/>
            <w:tcBorders>
              <w:top w:val="single" w:color="auto" w:sz="4" w:space="0"/>
              <w:left w:val="single" w:color="auto" w:sz="4" w:space="0"/>
              <w:bottom w:val="single" w:color="auto" w:sz="4" w:space="0"/>
              <w:right w:val="single" w:color="auto" w:sz="4" w:space="0"/>
              <w:tl2br w:val="nil"/>
              <w:tr2bl w:val="nil"/>
            </w:tcBorders>
            <w:noWrap/>
          </w:tcPr>
          <w:p w14:paraId="5D0F2AEB">
            <w:pPr>
              <w:pStyle w:val="8"/>
              <w:spacing w:line="560" w:lineRule="exact"/>
              <w:rPr>
                <w:rFonts w:ascii="仿宋_GB2312"/>
                <w:szCs w:val="32"/>
              </w:rPr>
            </w:pPr>
            <w:r>
              <w:rPr>
                <w:rFonts w:hint="eastAsia" w:ascii="仿宋_GB2312"/>
                <w:szCs w:val="32"/>
              </w:rPr>
              <w:t>惠财农〔2022〕44号</w:t>
            </w:r>
          </w:p>
        </w:tc>
        <w:tc>
          <w:tcPr>
            <w:tcW w:w="2250" w:type="dxa"/>
            <w:tcBorders>
              <w:top w:val="single" w:color="auto" w:sz="4" w:space="0"/>
              <w:left w:val="single" w:color="auto" w:sz="4" w:space="0"/>
              <w:bottom w:val="single" w:color="auto" w:sz="4" w:space="0"/>
              <w:right w:val="single" w:color="auto" w:sz="4" w:space="0"/>
              <w:tl2br w:val="nil"/>
              <w:tr2bl w:val="nil"/>
            </w:tcBorders>
            <w:noWrap/>
          </w:tcPr>
          <w:p w14:paraId="29EE5589">
            <w:pPr>
              <w:pStyle w:val="8"/>
              <w:spacing w:line="560" w:lineRule="exact"/>
              <w:jc w:val="center"/>
              <w:rPr>
                <w:rFonts w:ascii="仿宋_GB2312"/>
                <w:szCs w:val="32"/>
              </w:rPr>
            </w:pPr>
            <w:r>
              <w:rPr>
                <w:rFonts w:hint="eastAsia" w:ascii="仿宋_GB2312"/>
                <w:szCs w:val="32"/>
              </w:rPr>
              <w:t>965</w:t>
            </w:r>
          </w:p>
        </w:tc>
        <w:tc>
          <w:tcPr>
            <w:tcW w:w="3030" w:type="dxa"/>
            <w:tcBorders>
              <w:top w:val="single" w:color="auto" w:sz="4" w:space="0"/>
              <w:left w:val="single" w:color="auto" w:sz="4" w:space="0"/>
              <w:bottom w:val="single" w:color="auto" w:sz="4" w:space="0"/>
              <w:right w:val="single" w:color="auto" w:sz="4" w:space="0"/>
              <w:tl2br w:val="nil"/>
              <w:tr2bl w:val="nil"/>
            </w:tcBorders>
            <w:noWrap/>
          </w:tcPr>
          <w:p w14:paraId="37542C48">
            <w:pPr>
              <w:pStyle w:val="8"/>
              <w:spacing w:line="560" w:lineRule="exact"/>
              <w:rPr>
                <w:rFonts w:ascii="仿宋_GB2312"/>
                <w:szCs w:val="32"/>
              </w:rPr>
            </w:pPr>
            <w:r>
              <w:rPr>
                <w:rFonts w:hint="eastAsia" w:ascii="仿宋_GB2312"/>
                <w:szCs w:val="32"/>
              </w:rPr>
              <w:t>2022年5月30日</w:t>
            </w:r>
          </w:p>
        </w:tc>
      </w:tr>
      <w:tr w14:paraId="1246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54" w:type="dxa"/>
            <w:tcBorders>
              <w:top w:val="single" w:color="auto" w:sz="4" w:space="0"/>
              <w:left w:val="single" w:color="auto" w:sz="4" w:space="0"/>
              <w:bottom w:val="single" w:color="auto" w:sz="4" w:space="0"/>
              <w:right w:val="single" w:color="auto" w:sz="4" w:space="0"/>
              <w:tl2br w:val="nil"/>
              <w:tr2bl w:val="nil"/>
            </w:tcBorders>
            <w:noWrap/>
          </w:tcPr>
          <w:p w14:paraId="5C96C1F0">
            <w:pPr>
              <w:pStyle w:val="8"/>
              <w:spacing w:line="560" w:lineRule="exact"/>
              <w:rPr>
                <w:rFonts w:ascii="仿宋_GB2312"/>
                <w:szCs w:val="32"/>
              </w:rPr>
            </w:pPr>
            <w:r>
              <w:rPr>
                <w:rFonts w:hint="eastAsia" w:ascii="仿宋_GB2312"/>
                <w:szCs w:val="32"/>
              </w:rPr>
              <w:t>惠财农〔2022〕56号</w:t>
            </w:r>
          </w:p>
        </w:tc>
        <w:tc>
          <w:tcPr>
            <w:tcW w:w="2250" w:type="dxa"/>
            <w:tcBorders>
              <w:top w:val="single" w:color="auto" w:sz="4" w:space="0"/>
              <w:left w:val="single" w:color="auto" w:sz="4" w:space="0"/>
              <w:bottom w:val="single" w:color="auto" w:sz="4" w:space="0"/>
              <w:right w:val="single" w:color="auto" w:sz="4" w:space="0"/>
              <w:tl2br w:val="nil"/>
              <w:tr2bl w:val="nil"/>
            </w:tcBorders>
            <w:noWrap/>
          </w:tcPr>
          <w:p w14:paraId="1E9B0C3A">
            <w:pPr>
              <w:pStyle w:val="8"/>
              <w:spacing w:line="560" w:lineRule="exact"/>
              <w:jc w:val="center"/>
              <w:rPr>
                <w:rFonts w:ascii="仿宋_GB2312"/>
                <w:szCs w:val="32"/>
              </w:rPr>
            </w:pPr>
            <w:r>
              <w:rPr>
                <w:rFonts w:hint="eastAsia" w:ascii="仿宋_GB2312"/>
                <w:szCs w:val="32"/>
              </w:rPr>
              <w:t>566</w:t>
            </w:r>
          </w:p>
        </w:tc>
        <w:tc>
          <w:tcPr>
            <w:tcW w:w="3030" w:type="dxa"/>
            <w:tcBorders>
              <w:top w:val="single" w:color="auto" w:sz="4" w:space="0"/>
              <w:left w:val="single" w:color="auto" w:sz="4" w:space="0"/>
              <w:bottom w:val="single" w:color="auto" w:sz="4" w:space="0"/>
              <w:right w:val="single" w:color="auto" w:sz="4" w:space="0"/>
              <w:tl2br w:val="nil"/>
              <w:tr2bl w:val="nil"/>
            </w:tcBorders>
            <w:noWrap/>
          </w:tcPr>
          <w:p w14:paraId="3D30C019">
            <w:pPr>
              <w:pStyle w:val="8"/>
              <w:spacing w:line="560" w:lineRule="exact"/>
              <w:rPr>
                <w:rFonts w:ascii="仿宋_GB2312"/>
                <w:szCs w:val="32"/>
              </w:rPr>
            </w:pPr>
            <w:r>
              <w:rPr>
                <w:rFonts w:hint="eastAsia" w:ascii="仿宋_GB2312"/>
                <w:szCs w:val="32"/>
              </w:rPr>
              <w:t>2022年7月4日</w:t>
            </w:r>
          </w:p>
        </w:tc>
      </w:tr>
      <w:tr w14:paraId="09A7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54" w:type="dxa"/>
            <w:tcBorders>
              <w:top w:val="single" w:color="auto" w:sz="4" w:space="0"/>
              <w:left w:val="single" w:color="auto" w:sz="4" w:space="0"/>
              <w:bottom w:val="single" w:color="auto" w:sz="4" w:space="0"/>
              <w:right w:val="single" w:color="auto" w:sz="4" w:space="0"/>
              <w:tl2br w:val="nil"/>
              <w:tr2bl w:val="nil"/>
            </w:tcBorders>
            <w:noWrap/>
          </w:tcPr>
          <w:p w14:paraId="2E109B74">
            <w:pPr>
              <w:pStyle w:val="8"/>
              <w:spacing w:line="560" w:lineRule="exact"/>
              <w:rPr>
                <w:rFonts w:ascii="仿宋_GB2312"/>
                <w:szCs w:val="32"/>
              </w:rPr>
            </w:pPr>
            <w:r>
              <w:rPr>
                <w:rFonts w:hint="eastAsia" w:ascii="仿宋_GB2312"/>
                <w:szCs w:val="32"/>
              </w:rPr>
              <w:t>惠财农〔2022〕58号</w:t>
            </w:r>
          </w:p>
        </w:tc>
        <w:tc>
          <w:tcPr>
            <w:tcW w:w="2250" w:type="dxa"/>
            <w:tcBorders>
              <w:top w:val="single" w:color="auto" w:sz="4" w:space="0"/>
              <w:left w:val="single" w:color="auto" w:sz="4" w:space="0"/>
              <w:bottom w:val="single" w:color="auto" w:sz="4" w:space="0"/>
              <w:right w:val="single" w:color="auto" w:sz="4" w:space="0"/>
              <w:tl2br w:val="nil"/>
              <w:tr2bl w:val="nil"/>
            </w:tcBorders>
            <w:noWrap/>
          </w:tcPr>
          <w:p w14:paraId="4E287D1E">
            <w:pPr>
              <w:pStyle w:val="8"/>
              <w:spacing w:line="560" w:lineRule="exact"/>
              <w:jc w:val="center"/>
              <w:rPr>
                <w:rFonts w:ascii="仿宋_GB2312"/>
                <w:szCs w:val="32"/>
              </w:rPr>
            </w:pPr>
            <w:r>
              <w:rPr>
                <w:rFonts w:hint="eastAsia" w:ascii="仿宋_GB2312"/>
                <w:szCs w:val="32"/>
              </w:rPr>
              <w:t>1</w:t>
            </w:r>
            <w:r>
              <w:rPr>
                <w:rFonts w:eastAsia="仿宋"/>
                <w:szCs w:val="30"/>
              </w:rPr>
              <w:t>,</w:t>
            </w:r>
            <w:r>
              <w:rPr>
                <w:rFonts w:hint="eastAsia" w:ascii="仿宋_GB2312"/>
                <w:szCs w:val="32"/>
              </w:rPr>
              <w:t>000</w:t>
            </w:r>
          </w:p>
        </w:tc>
        <w:tc>
          <w:tcPr>
            <w:tcW w:w="3030" w:type="dxa"/>
            <w:tcBorders>
              <w:top w:val="single" w:color="auto" w:sz="4" w:space="0"/>
              <w:left w:val="single" w:color="auto" w:sz="4" w:space="0"/>
              <w:bottom w:val="single" w:color="auto" w:sz="4" w:space="0"/>
              <w:right w:val="single" w:color="auto" w:sz="4" w:space="0"/>
              <w:tl2br w:val="nil"/>
              <w:tr2bl w:val="nil"/>
            </w:tcBorders>
            <w:noWrap/>
          </w:tcPr>
          <w:p w14:paraId="0254C8C9">
            <w:pPr>
              <w:pStyle w:val="8"/>
              <w:spacing w:line="560" w:lineRule="exact"/>
              <w:rPr>
                <w:rFonts w:ascii="仿宋_GB2312"/>
                <w:szCs w:val="32"/>
              </w:rPr>
            </w:pPr>
            <w:r>
              <w:rPr>
                <w:rFonts w:hint="eastAsia" w:ascii="仿宋_GB2312"/>
                <w:szCs w:val="32"/>
              </w:rPr>
              <w:t>2022年7月6日</w:t>
            </w:r>
          </w:p>
        </w:tc>
      </w:tr>
      <w:tr w14:paraId="35C6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54" w:type="dxa"/>
            <w:tcBorders>
              <w:top w:val="single" w:color="auto" w:sz="4" w:space="0"/>
              <w:left w:val="single" w:color="auto" w:sz="4" w:space="0"/>
              <w:bottom w:val="single" w:color="auto" w:sz="4" w:space="0"/>
              <w:right w:val="single" w:color="auto" w:sz="4" w:space="0"/>
              <w:tl2br w:val="nil"/>
              <w:tr2bl w:val="nil"/>
            </w:tcBorders>
            <w:noWrap/>
          </w:tcPr>
          <w:p w14:paraId="784714FD">
            <w:pPr>
              <w:pStyle w:val="8"/>
              <w:spacing w:line="560" w:lineRule="exact"/>
              <w:rPr>
                <w:rFonts w:ascii="仿宋_GB2312"/>
                <w:szCs w:val="32"/>
              </w:rPr>
            </w:pPr>
            <w:r>
              <w:rPr>
                <w:rFonts w:hint="eastAsia" w:ascii="仿宋_GB2312"/>
                <w:szCs w:val="32"/>
              </w:rPr>
              <w:t>惠财农〔2022〕91号</w:t>
            </w:r>
          </w:p>
        </w:tc>
        <w:tc>
          <w:tcPr>
            <w:tcW w:w="2250" w:type="dxa"/>
            <w:tcBorders>
              <w:top w:val="single" w:color="auto" w:sz="4" w:space="0"/>
              <w:left w:val="single" w:color="auto" w:sz="4" w:space="0"/>
              <w:bottom w:val="single" w:color="auto" w:sz="4" w:space="0"/>
              <w:right w:val="single" w:color="auto" w:sz="4" w:space="0"/>
              <w:tl2br w:val="nil"/>
              <w:tr2bl w:val="nil"/>
            </w:tcBorders>
            <w:noWrap/>
          </w:tcPr>
          <w:p w14:paraId="59FD3658">
            <w:pPr>
              <w:pStyle w:val="8"/>
              <w:spacing w:line="560" w:lineRule="exact"/>
              <w:jc w:val="center"/>
              <w:rPr>
                <w:rFonts w:ascii="仿宋_GB2312"/>
                <w:szCs w:val="32"/>
              </w:rPr>
            </w:pPr>
            <w:r>
              <w:rPr>
                <w:rFonts w:hint="eastAsia" w:ascii="仿宋_GB2312"/>
                <w:szCs w:val="32"/>
              </w:rPr>
              <w:t>2</w:t>
            </w:r>
            <w:r>
              <w:rPr>
                <w:rFonts w:eastAsia="仿宋"/>
                <w:szCs w:val="30"/>
              </w:rPr>
              <w:t>,</w:t>
            </w:r>
            <w:r>
              <w:rPr>
                <w:rFonts w:hint="eastAsia" w:ascii="仿宋_GB2312"/>
                <w:szCs w:val="32"/>
              </w:rPr>
              <w:t>446.77</w:t>
            </w:r>
          </w:p>
        </w:tc>
        <w:tc>
          <w:tcPr>
            <w:tcW w:w="3030" w:type="dxa"/>
            <w:tcBorders>
              <w:top w:val="single" w:color="auto" w:sz="4" w:space="0"/>
              <w:left w:val="single" w:color="auto" w:sz="4" w:space="0"/>
              <w:bottom w:val="single" w:color="auto" w:sz="4" w:space="0"/>
              <w:right w:val="single" w:color="auto" w:sz="4" w:space="0"/>
              <w:tl2br w:val="nil"/>
              <w:tr2bl w:val="nil"/>
            </w:tcBorders>
            <w:noWrap/>
          </w:tcPr>
          <w:p w14:paraId="621AB60B">
            <w:pPr>
              <w:pStyle w:val="8"/>
              <w:spacing w:line="560" w:lineRule="exact"/>
              <w:rPr>
                <w:rFonts w:ascii="仿宋_GB2312"/>
                <w:szCs w:val="32"/>
              </w:rPr>
            </w:pPr>
            <w:r>
              <w:rPr>
                <w:rFonts w:hint="eastAsia" w:ascii="仿宋_GB2312"/>
                <w:szCs w:val="32"/>
              </w:rPr>
              <w:t>2022年9月8日</w:t>
            </w:r>
          </w:p>
        </w:tc>
      </w:tr>
      <w:tr w14:paraId="1CDC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54" w:type="dxa"/>
            <w:tcBorders>
              <w:top w:val="single" w:color="auto" w:sz="4" w:space="0"/>
              <w:left w:val="single" w:color="auto" w:sz="4" w:space="0"/>
              <w:bottom w:val="single" w:color="auto" w:sz="4" w:space="0"/>
              <w:right w:val="single" w:color="auto" w:sz="4" w:space="0"/>
              <w:tl2br w:val="nil"/>
              <w:tr2bl w:val="nil"/>
            </w:tcBorders>
            <w:noWrap/>
          </w:tcPr>
          <w:p w14:paraId="2159B8A1">
            <w:pPr>
              <w:pStyle w:val="8"/>
              <w:spacing w:line="560" w:lineRule="exact"/>
              <w:rPr>
                <w:rFonts w:ascii="仿宋_GB2312"/>
                <w:szCs w:val="32"/>
              </w:rPr>
            </w:pPr>
            <w:r>
              <w:rPr>
                <w:rFonts w:hint="eastAsia" w:ascii="仿宋_GB2312"/>
                <w:szCs w:val="32"/>
              </w:rPr>
              <w:t>惠财农〔2022〕106号</w:t>
            </w:r>
          </w:p>
        </w:tc>
        <w:tc>
          <w:tcPr>
            <w:tcW w:w="2250" w:type="dxa"/>
            <w:tcBorders>
              <w:top w:val="single" w:color="auto" w:sz="4" w:space="0"/>
              <w:left w:val="single" w:color="auto" w:sz="4" w:space="0"/>
              <w:bottom w:val="single" w:color="auto" w:sz="4" w:space="0"/>
              <w:right w:val="single" w:color="auto" w:sz="4" w:space="0"/>
              <w:tl2br w:val="nil"/>
              <w:tr2bl w:val="nil"/>
            </w:tcBorders>
            <w:noWrap/>
          </w:tcPr>
          <w:p w14:paraId="0A0CC12C">
            <w:pPr>
              <w:pStyle w:val="8"/>
              <w:spacing w:line="560" w:lineRule="exact"/>
              <w:jc w:val="center"/>
              <w:rPr>
                <w:rFonts w:ascii="仿宋_GB2312"/>
                <w:szCs w:val="32"/>
              </w:rPr>
            </w:pPr>
            <w:r>
              <w:rPr>
                <w:rFonts w:hint="eastAsia" w:ascii="仿宋_GB2312"/>
                <w:szCs w:val="32"/>
              </w:rPr>
              <w:t>536</w:t>
            </w:r>
          </w:p>
        </w:tc>
        <w:tc>
          <w:tcPr>
            <w:tcW w:w="3030" w:type="dxa"/>
            <w:tcBorders>
              <w:top w:val="single" w:color="auto" w:sz="4" w:space="0"/>
              <w:left w:val="single" w:color="auto" w:sz="4" w:space="0"/>
              <w:bottom w:val="single" w:color="auto" w:sz="4" w:space="0"/>
              <w:right w:val="single" w:color="auto" w:sz="4" w:space="0"/>
              <w:tl2br w:val="nil"/>
              <w:tr2bl w:val="nil"/>
            </w:tcBorders>
            <w:noWrap/>
          </w:tcPr>
          <w:p w14:paraId="265B6FCE">
            <w:pPr>
              <w:pStyle w:val="8"/>
              <w:spacing w:line="560" w:lineRule="exact"/>
              <w:rPr>
                <w:rFonts w:ascii="仿宋_GB2312"/>
                <w:szCs w:val="32"/>
              </w:rPr>
            </w:pPr>
            <w:r>
              <w:rPr>
                <w:rFonts w:hint="eastAsia" w:ascii="仿宋_GB2312"/>
                <w:szCs w:val="32"/>
              </w:rPr>
              <w:t>2022年10月5日</w:t>
            </w:r>
          </w:p>
        </w:tc>
      </w:tr>
      <w:tr w14:paraId="2E0B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54" w:type="dxa"/>
            <w:tcBorders>
              <w:top w:val="single" w:color="auto" w:sz="4" w:space="0"/>
              <w:left w:val="single" w:color="auto" w:sz="4" w:space="0"/>
              <w:bottom w:val="single" w:color="auto" w:sz="4" w:space="0"/>
              <w:right w:val="single" w:color="auto" w:sz="4" w:space="0"/>
              <w:tl2br w:val="nil"/>
              <w:tr2bl w:val="nil"/>
            </w:tcBorders>
            <w:noWrap/>
          </w:tcPr>
          <w:p w14:paraId="64B738CE">
            <w:pPr>
              <w:pStyle w:val="8"/>
              <w:spacing w:line="560" w:lineRule="exact"/>
              <w:rPr>
                <w:rFonts w:ascii="仿宋_GB2312"/>
                <w:szCs w:val="32"/>
              </w:rPr>
            </w:pPr>
            <w:r>
              <w:rPr>
                <w:rFonts w:hint="eastAsia" w:ascii="仿宋_GB2312"/>
                <w:szCs w:val="32"/>
              </w:rPr>
              <w:t>惠财农〔2022〕110号</w:t>
            </w:r>
          </w:p>
        </w:tc>
        <w:tc>
          <w:tcPr>
            <w:tcW w:w="2250" w:type="dxa"/>
            <w:tcBorders>
              <w:top w:val="single" w:color="auto" w:sz="4" w:space="0"/>
              <w:left w:val="single" w:color="auto" w:sz="4" w:space="0"/>
              <w:bottom w:val="single" w:color="auto" w:sz="4" w:space="0"/>
              <w:right w:val="single" w:color="auto" w:sz="4" w:space="0"/>
              <w:tl2br w:val="nil"/>
              <w:tr2bl w:val="nil"/>
            </w:tcBorders>
            <w:noWrap/>
          </w:tcPr>
          <w:p w14:paraId="640B29C6">
            <w:pPr>
              <w:pStyle w:val="8"/>
              <w:spacing w:line="560" w:lineRule="exact"/>
              <w:jc w:val="center"/>
              <w:rPr>
                <w:rFonts w:ascii="仿宋_GB2312"/>
                <w:szCs w:val="32"/>
              </w:rPr>
            </w:pPr>
            <w:r>
              <w:rPr>
                <w:rFonts w:hint="eastAsia" w:ascii="仿宋_GB2312"/>
                <w:szCs w:val="32"/>
              </w:rPr>
              <w:t>14.4</w:t>
            </w:r>
          </w:p>
        </w:tc>
        <w:tc>
          <w:tcPr>
            <w:tcW w:w="3030" w:type="dxa"/>
            <w:tcBorders>
              <w:top w:val="single" w:color="auto" w:sz="4" w:space="0"/>
              <w:left w:val="single" w:color="auto" w:sz="4" w:space="0"/>
              <w:bottom w:val="single" w:color="auto" w:sz="4" w:space="0"/>
              <w:right w:val="single" w:color="auto" w:sz="4" w:space="0"/>
              <w:tl2br w:val="nil"/>
              <w:tr2bl w:val="nil"/>
            </w:tcBorders>
            <w:noWrap/>
          </w:tcPr>
          <w:p w14:paraId="1B4E8333">
            <w:pPr>
              <w:pStyle w:val="8"/>
              <w:spacing w:line="560" w:lineRule="exact"/>
              <w:rPr>
                <w:rFonts w:ascii="仿宋_GB2312"/>
                <w:szCs w:val="32"/>
              </w:rPr>
            </w:pPr>
            <w:r>
              <w:rPr>
                <w:rFonts w:hint="eastAsia" w:ascii="仿宋_GB2312"/>
                <w:szCs w:val="32"/>
              </w:rPr>
              <w:t>2022年10月21日</w:t>
            </w:r>
          </w:p>
        </w:tc>
      </w:tr>
    </w:tbl>
    <w:p w14:paraId="1ADFAAE9">
      <w:pPr>
        <w:pStyle w:val="8"/>
        <w:spacing w:line="560" w:lineRule="exact"/>
        <w:ind w:firstLine="640" w:firstLineChars="200"/>
        <w:rPr>
          <w:rFonts w:eastAsia="仿宋"/>
          <w:szCs w:val="30"/>
        </w:rPr>
      </w:pPr>
      <w:r>
        <w:rPr>
          <w:rFonts w:hint="eastAsia" w:eastAsia="楷体"/>
          <w:szCs w:val="30"/>
        </w:rPr>
        <w:t>（一）第一批项目报备和下达情况。</w:t>
      </w:r>
      <w:r>
        <w:rPr>
          <w:rFonts w:eastAsia="仿宋"/>
          <w:szCs w:val="30"/>
        </w:rPr>
        <w:t>2021</w:t>
      </w:r>
      <w:r>
        <w:rPr>
          <w:rFonts w:hint="eastAsia" w:eastAsia="仿宋"/>
          <w:szCs w:val="30"/>
        </w:rPr>
        <w:t>年12月29日—2022年1月7日，各县（区）陆续向市级报送第一批资金分配方案（即拟实施项目明细）、区域绩效目标和大事要事计划。</w:t>
      </w:r>
      <w:r>
        <w:rPr>
          <w:rFonts w:eastAsia="仿宋"/>
          <w:szCs w:val="30"/>
        </w:rPr>
        <w:t>2022</w:t>
      </w:r>
      <w:r>
        <w:rPr>
          <w:rFonts w:hint="eastAsia" w:eastAsia="仿宋"/>
          <w:szCs w:val="30"/>
        </w:rPr>
        <w:t>年</w:t>
      </w:r>
      <w:r>
        <w:rPr>
          <w:rFonts w:eastAsia="仿宋"/>
          <w:szCs w:val="30"/>
        </w:rPr>
        <w:t>1</w:t>
      </w:r>
      <w:r>
        <w:rPr>
          <w:rFonts w:hint="eastAsia" w:eastAsia="仿宋"/>
          <w:szCs w:val="30"/>
        </w:rPr>
        <w:t>月14日，市涉农资金统筹整合领导小组召开会议对全市的资金分配方案、区域绩效目标进行审议并原则通过。市涉农办于当日完成向省级报备工作，并于2月9日将资金分配下达至市本级相关部门和各县（区），同步批复下达区域绩效目标。</w:t>
      </w:r>
    </w:p>
    <w:p w14:paraId="11AC5B8E">
      <w:pPr>
        <w:pStyle w:val="8"/>
        <w:spacing w:line="560" w:lineRule="exact"/>
        <w:ind w:firstLine="640" w:firstLineChars="200"/>
        <w:rPr>
          <w:rFonts w:eastAsia="仿宋"/>
          <w:szCs w:val="30"/>
        </w:rPr>
      </w:pPr>
      <w:r>
        <w:rPr>
          <w:rFonts w:hint="eastAsia" w:eastAsia="楷体"/>
          <w:szCs w:val="30"/>
        </w:rPr>
        <w:t>（二）第二批报备和下达情况。</w:t>
      </w:r>
      <w:r>
        <w:rPr>
          <w:rFonts w:eastAsia="仿宋"/>
          <w:szCs w:val="30"/>
        </w:rPr>
        <w:t>2022</w:t>
      </w:r>
      <w:r>
        <w:rPr>
          <w:rFonts w:hint="eastAsia" w:eastAsia="仿宋"/>
          <w:szCs w:val="30"/>
        </w:rPr>
        <w:t>年4月19日—5月23日，各县（区）陆续向市级报送第二批资金分配方案（即拟实施项目明细）、第一批中来源于成品油补助资金调整方案、修改完善的区域绩效目标和大事要事计划。5月26日，经市涉农资金统筹整合领导小组审议并原则通过。市涉农办于5月27日完成向省级报备工作，并于当日将资金分配下达至市本级相关部门和各县（区），同步批复下达区域绩效目标。</w:t>
      </w:r>
    </w:p>
    <w:p w14:paraId="1C40FED3">
      <w:pPr>
        <w:pStyle w:val="8"/>
        <w:spacing w:line="560" w:lineRule="exact"/>
        <w:ind w:firstLine="640" w:firstLineChars="200"/>
        <w:rPr>
          <w:rFonts w:eastAsia="楷体"/>
          <w:szCs w:val="30"/>
        </w:rPr>
      </w:pPr>
      <w:r>
        <w:rPr>
          <w:rFonts w:hint="eastAsia" w:eastAsia="楷体"/>
          <w:szCs w:val="30"/>
        </w:rPr>
        <w:t>（三）其他批次资金下达情况。</w:t>
      </w:r>
      <w:r>
        <w:rPr>
          <w:rFonts w:hint="eastAsia" w:eastAsia="仿宋"/>
          <w:szCs w:val="30"/>
        </w:rPr>
        <w:t>除第一、二批外，其他批次资金均为指定范围或项目资金，我市按一般转移支付资金相关规定在规定时限内将资金下达至相关县（区），并按照省涉农办的要求在系统中完成项目报备。</w:t>
      </w:r>
    </w:p>
    <w:p w14:paraId="047CACE3">
      <w:pPr>
        <w:pStyle w:val="8"/>
        <w:spacing w:line="560" w:lineRule="exact"/>
        <w:ind w:firstLine="640"/>
        <w:rPr>
          <w:rFonts w:ascii="黑体" w:eastAsia="黑体"/>
          <w:szCs w:val="32"/>
        </w:rPr>
      </w:pPr>
      <w:r>
        <w:rPr>
          <w:rFonts w:hint="eastAsia" w:ascii="黑体" w:eastAsia="黑体"/>
          <w:szCs w:val="32"/>
        </w:rPr>
        <w:t>三、绩效目标完成情况分析</w:t>
      </w:r>
    </w:p>
    <w:p w14:paraId="3E0137D6">
      <w:pPr>
        <w:pStyle w:val="8"/>
        <w:spacing w:line="560" w:lineRule="exact"/>
        <w:ind w:firstLine="640"/>
        <w:rPr>
          <w:rFonts w:ascii="楷体_GB2312" w:eastAsia="楷体_GB2312"/>
          <w:szCs w:val="32"/>
        </w:rPr>
      </w:pPr>
      <w:r>
        <w:rPr>
          <w:rFonts w:hint="eastAsia" w:ascii="楷体_GB2312" w:eastAsia="楷体_GB2312"/>
          <w:szCs w:val="32"/>
        </w:rPr>
        <w:t>（一）资金投入情况分析</w:t>
      </w:r>
    </w:p>
    <w:p w14:paraId="4FC7EF7F">
      <w:pPr>
        <w:pStyle w:val="8"/>
        <w:spacing w:line="560" w:lineRule="exact"/>
        <w:ind w:firstLine="640" w:firstLineChars="200"/>
        <w:rPr>
          <w:rFonts w:eastAsia="仿宋"/>
          <w:szCs w:val="30"/>
        </w:rPr>
      </w:pPr>
      <w:r>
        <w:rPr>
          <w:rFonts w:eastAsia="仿宋"/>
          <w:szCs w:val="30"/>
        </w:rPr>
        <w:t>2022</w:t>
      </w:r>
      <w:r>
        <w:rPr>
          <w:rFonts w:hint="eastAsia" w:eastAsia="仿宋"/>
          <w:szCs w:val="30"/>
        </w:rPr>
        <w:t>年，我市共统筹整合各级涉农资金185,143万元支持315个涉农资金项目，其中：省级涉农资金41,023万元，与省级涉农资金共同投入到同一项目或政策的中央资金25,382万元，市县72,538万元，其他资金46</w:t>
      </w:r>
      <w:r>
        <w:rPr>
          <w:rFonts w:eastAsia="仿宋"/>
          <w:szCs w:val="30"/>
        </w:rPr>
        <w:t>,200</w:t>
      </w:r>
      <w:r>
        <w:rPr>
          <w:rFonts w:hint="eastAsia" w:eastAsia="仿宋"/>
          <w:szCs w:val="30"/>
        </w:rPr>
        <w:t>万元。我市无省级驻镇帮镇扶村资金。</w:t>
      </w:r>
    </w:p>
    <w:p w14:paraId="443BC469">
      <w:pPr>
        <w:pStyle w:val="8"/>
        <w:spacing w:line="560" w:lineRule="exact"/>
        <w:ind w:firstLine="640" w:firstLineChars="200"/>
        <w:rPr>
          <w:rFonts w:hint="eastAsia" w:ascii="宋体" w:hAnsi="宋体"/>
          <w:sz w:val="21"/>
        </w:rPr>
      </w:pPr>
      <w:r>
        <w:rPr>
          <w:rFonts w:hint="eastAsia" w:eastAsia="仿宋"/>
          <w:szCs w:val="30"/>
        </w:rPr>
        <w:t>截至2022年12月31日，各级涉农资金共支出</w:t>
      </w:r>
      <w:r>
        <w:rPr>
          <w:rFonts w:eastAsia="仿宋"/>
          <w:szCs w:val="30"/>
        </w:rPr>
        <w:t>147,814</w:t>
      </w:r>
      <w:r>
        <w:rPr>
          <w:rFonts w:hint="eastAsia" w:eastAsia="仿宋"/>
          <w:szCs w:val="30"/>
        </w:rPr>
        <w:t>万元，预算执行率为80%，其中：中央资金20</w:t>
      </w:r>
      <w:r>
        <w:rPr>
          <w:rFonts w:eastAsia="仿宋"/>
          <w:szCs w:val="30"/>
        </w:rPr>
        <w:t>,146</w:t>
      </w:r>
      <w:r>
        <w:rPr>
          <w:rFonts w:hint="eastAsia" w:eastAsia="仿宋"/>
          <w:szCs w:val="30"/>
        </w:rPr>
        <w:t>万元，执行率79%，省级涉农资金34</w:t>
      </w:r>
      <w:r>
        <w:rPr>
          <w:rFonts w:eastAsia="仿宋"/>
          <w:szCs w:val="30"/>
        </w:rPr>
        <w:t>,470</w:t>
      </w:r>
      <w:r>
        <w:rPr>
          <w:rFonts w:hint="eastAsia" w:eastAsia="仿宋"/>
          <w:szCs w:val="30"/>
        </w:rPr>
        <w:t>万元，执行率84%，市县级资金</w:t>
      </w:r>
      <w:r>
        <w:rPr>
          <w:rFonts w:eastAsia="仿宋"/>
          <w:szCs w:val="30"/>
        </w:rPr>
        <w:t>46,998</w:t>
      </w:r>
      <w:r>
        <w:rPr>
          <w:rFonts w:hint="eastAsia" w:eastAsia="仿宋"/>
          <w:szCs w:val="30"/>
        </w:rPr>
        <w:t>万元，执行率65%，其他资金46</w:t>
      </w:r>
      <w:r>
        <w:rPr>
          <w:rFonts w:eastAsia="仿宋"/>
          <w:szCs w:val="30"/>
        </w:rPr>
        <w:t>,200</w:t>
      </w:r>
      <w:r>
        <w:rPr>
          <w:rFonts w:hint="eastAsia" w:eastAsia="仿宋"/>
          <w:szCs w:val="30"/>
        </w:rPr>
        <w:t>万元，执行率100%。</w:t>
      </w:r>
    </w:p>
    <w:p w14:paraId="43EAD1DA">
      <w:pPr>
        <w:pStyle w:val="16"/>
        <w:spacing w:line="560" w:lineRule="exact"/>
        <w:ind w:firstLine="640"/>
        <w:rPr>
          <w:rFonts w:eastAsia="仿宋"/>
          <w:sz w:val="32"/>
          <w:szCs w:val="32"/>
        </w:rPr>
      </w:pPr>
      <w:r>
        <w:rPr>
          <w:rFonts w:hint="eastAsia" w:eastAsia="仿宋"/>
          <w:sz w:val="32"/>
          <w:szCs w:val="30"/>
        </w:rPr>
        <w:t>未能100%形成实际支出的原因主要有以下四个方面：一是部分中央资金拨付方式为</w:t>
      </w:r>
      <w:r>
        <w:rPr>
          <w:rFonts w:hint="eastAsia" w:eastAsia="仿宋"/>
          <w:sz w:val="32"/>
          <w:szCs w:val="32"/>
        </w:rPr>
        <w:t>先建后补，需待项目竣工验收后才能拨付资金。如广东岭南荔枝优势特色产业集群项目，为跨年度续建项目（2022年中央安排惠东县1650万元、博罗县200万元），因项目尚在实施中，补助资金需待项目建成验收合格后方可支付；黄羽鸡优势特色产业集群项目（2022年中央安排博罗县1700万元），目前项目建设进度65%，按照省实施方案要求，仅预拨210万经费，其余待建成验收合格后再支付。</w:t>
      </w:r>
      <w:r>
        <w:rPr>
          <w:rFonts w:hint="eastAsia" w:eastAsia="仿宋"/>
          <w:sz w:val="32"/>
          <w:szCs w:val="30"/>
        </w:rPr>
        <w:t>二是</w:t>
      </w:r>
      <w:r>
        <w:rPr>
          <w:rFonts w:hint="eastAsia" w:eastAsia="仿宋"/>
          <w:sz w:val="32"/>
          <w:szCs w:val="32"/>
        </w:rPr>
        <w:t>部分项目虽然完成考核任务量，但未送财政结算评审，剩余资金未拨付。比如龙门县美丽乡村建设项目，安排766.12万元，已拨付651.48万元，剩余114.64万元未拨付。三是个别县由于财政资金调度困难，未能拨付申请资金。如龙门县河湖管理范围划定项目安排380.39万元，已拨付223.58万元，剩余156.81万元未拨付。四是部分项目进展未达预期，前期走程序耗费时间较多，如市级驻镇帮镇扶村资金，2021年12月已将资金提前下达至相关县（区），但项目申报遴选进度滞后，各乡镇在2022年6月份之后才完成项目申报审批工作，导致项目进展滞后，影响资金使用效益。</w:t>
      </w:r>
    </w:p>
    <w:p w14:paraId="22816CA4">
      <w:pPr>
        <w:pStyle w:val="8"/>
        <w:spacing w:line="560" w:lineRule="exact"/>
        <w:ind w:firstLine="640"/>
        <w:rPr>
          <w:rFonts w:ascii="仿宋_GB2312"/>
          <w:szCs w:val="32"/>
        </w:rPr>
      </w:pPr>
      <w:r>
        <w:rPr>
          <w:rFonts w:hint="eastAsia" w:ascii="楷体_GB2312" w:eastAsia="楷体_GB2312"/>
          <w:szCs w:val="32"/>
        </w:rPr>
        <w:t>（二）项目实施情况</w:t>
      </w:r>
    </w:p>
    <w:p w14:paraId="5A319E40">
      <w:pPr>
        <w:pStyle w:val="8"/>
        <w:spacing w:line="560" w:lineRule="exact"/>
        <w:ind w:firstLine="640" w:firstLineChars="200"/>
        <w:rPr>
          <w:rFonts w:eastAsia="仿宋"/>
          <w:szCs w:val="32"/>
        </w:rPr>
      </w:pPr>
      <w:r>
        <w:rPr>
          <w:rFonts w:eastAsia="仿宋"/>
          <w:szCs w:val="32"/>
        </w:rPr>
        <w:t>2022</w:t>
      </w:r>
      <w:r>
        <w:rPr>
          <w:rFonts w:hint="eastAsia" w:eastAsia="仿宋"/>
          <w:szCs w:val="32"/>
        </w:rPr>
        <w:t>年度，我市共实施涉农资金项目315个，市、县（区）涉农办分别组织和指导同级主管部门，对照项目年度绩效目标开展了项目绩效自评。根据项目绩效自评结果，295个项目完成项目年度绩效目标。各类一级项目具体情况如下：</w:t>
      </w:r>
    </w:p>
    <w:p w14:paraId="3C90F2D0">
      <w:pPr>
        <w:spacing w:line="560" w:lineRule="exact"/>
        <w:ind w:firstLine="643" w:firstLineChars="200"/>
        <w:rPr>
          <w:rFonts w:eastAsia="仿宋"/>
          <w:sz w:val="32"/>
          <w:szCs w:val="32"/>
        </w:rPr>
      </w:pPr>
      <w:r>
        <w:rPr>
          <w:rFonts w:eastAsia="仿宋"/>
          <w:b/>
          <w:sz w:val="32"/>
          <w:szCs w:val="32"/>
        </w:rPr>
        <w:t>1.</w:t>
      </w:r>
      <w:r>
        <w:rPr>
          <w:rFonts w:hint="eastAsia" w:eastAsia="仿宋"/>
          <w:b/>
          <w:sz w:val="32"/>
          <w:szCs w:val="32"/>
        </w:rPr>
        <w:t>村庄基础设施建设。</w:t>
      </w:r>
      <w:r>
        <w:rPr>
          <w:rFonts w:hint="eastAsia" w:eastAsia="仿宋"/>
          <w:sz w:val="32"/>
          <w:szCs w:val="32"/>
        </w:rPr>
        <w:t>共实施了16个项目，其中已完成项目15个，建设（实施）中项目1个。建设（实施）中项目为博罗县“福长和美”项目，已基本完成建设待验收，实施项目均完成项目年度绩效目标。总体上，取得了770个自然村村内道路基本硬底化、291个行政村农村厕所改造、2个“福长和美”乡村振兴综合示范带等村庄基础设施建设提升整治，不断改善了农村生活环境和品质，进一步了提升农民群众获得感、幸福感、满意度。</w:t>
      </w:r>
    </w:p>
    <w:p w14:paraId="1FBFEF2E">
      <w:pPr>
        <w:spacing w:line="560" w:lineRule="exact"/>
        <w:ind w:firstLine="643" w:firstLineChars="200"/>
        <w:rPr>
          <w:rFonts w:eastAsia="仿宋"/>
          <w:sz w:val="32"/>
          <w:szCs w:val="32"/>
        </w:rPr>
      </w:pPr>
      <w:r>
        <w:rPr>
          <w:rFonts w:eastAsia="仿宋"/>
          <w:b/>
          <w:sz w:val="32"/>
          <w:szCs w:val="32"/>
        </w:rPr>
        <w:t>2.</w:t>
      </w:r>
      <w:r>
        <w:rPr>
          <w:rFonts w:hint="eastAsia" w:eastAsia="仿宋"/>
          <w:b/>
          <w:sz w:val="32"/>
          <w:szCs w:val="32"/>
        </w:rPr>
        <w:t>农田建设及管护。</w:t>
      </w:r>
      <w:r>
        <w:rPr>
          <w:rFonts w:hint="eastAsia" w:eastAsia="仿宋"/>
          <w:sz w:val="32"/>
          <w:szCs w:val="32"/>
        </w:rPr>
        <w:t>共实施9个项目，已全部完成，完成项目年度绩效目标。项目的实施提高了农田的灌溉和抗旱能力，改善了农业生产条件，实现农业增效、农民增收，是建设美丽乡村、助推乡村振兴的一项民心工程，公众满意度98%。</w:t>
      </w:r>
    </w:p>
    <w:p w14:paraId="2147747B">
      <w:pPr>
        <w:pStyle w:val="2"/>
        <w:spacing w:line="560" w:lineRule="exact"/>
        <w:ind w:firstLine="643"/>
        <w:rPr>
          <w:rFonts w:eastAsia="仿宋"/>
          <w:sz w:val="32"/>
          <w:szCs w:val="32"/>
        </w:rPr>
      </w:pPr>
      <w:r>
        <w:rPr>
          <w:rFonts w:eastAsia="仿宋"/>
          <w:b/>
          <w:sz w:val="32"/>
          <w:szCs w:val="32"/>
        </w:rPr>
        <w:t>3.</w:t>
      </w:r>
      <w:r>
        <w:rPr>
          <w:rFonts w:hint="eastAsia" w:eastAsia="仿宋"/>
          <w:b/>
          <w:sz w:val="32"/>
          <w:szCs w:val="32"/>
        </w:rPr>
        <w:t>农产品质量安全。</w:t>
      </w:r>
      <w:r>
        <w:rPr>
          <w:rFonts w:hint="eastAsia" w:eastAsia="仿宋"/>
          <w:sz w:val="32"/>
          <w:szCs w:val="32"/>
        </w:rPr>
        <w:t>共实施12个项目，已全部完成，完成项目年度绩效目标。全年完成食用农产品风险监测抽检10</w:t>
      </w:r>
      <w:r>
        <w:rPr>
          <w:rFonts w:eastAsia="仿宋"/>
          <w:sz w:val="32"/>
          <w:szCs w:val="30"/>
        </w:rPr>
        <w:t>,</w:t>
      </w:r>
      <w:r>
        <w:rPr>
          <w:rFonts w:eastAsia="仿宋"/>
          <w:sz w:val="32"/>
          <w:szCs w:val="32"/>
        </w:rPr>
        <w:t>016</w:t>
      </w:r>
      <w:r>
        <w:rPr>
          <w:rFonts w:hint="eastAsia" w:eastAsia="仿宋"/>
          <w:sz w:val="32"/>
          <w:szCs w:val="32"/>
        </w:rPr>
        <w:t>批次，监督抽查1</w:t>
      </w:r>
      <w:r>
        <w:rPr>
          <w:rFonts w:eastAsia="仿宋"/>
          <w:sz w:val="32"/>
          <w:szCs w:val="30"/>
        </w:rPr>
        <w:t>,</w:t>
      </w:r>
      <w:r>
        <w:rPr>
          <w:rFonts w:eastAsia="仿宋"/>
          <w:sz w:val="32"/>
          <w:szCs w:val="32"/>
        </w:rPr>
        <w:t>358</w:t>
      </w:r>
      <w:r>
        <w:rPr>
          <w:rFonts w:hint="eastAsia" w:eastAsia="仿宋"/>
          <w:sz w:val="32"/>
          <w:szCs w:val="32"/>
        </w:rPr>
        <w:t>批次，对标年度风险监测8700批次，监督抽查1</w:t>
      </w:r>
      <w:r>
        <w:rPr>
          <w:rFonts w:eastAsia="仿宋"/>
          <w:sz w:val="32"/>
          <w:szCs w:val="30"/>
        </w:rPr>
        <w:t>,</w:t>
      </w:r>
      <w:r>
        <w:rPr>
          <w:rFonts w:eastAsia="仿宋"/>
          <w:sz w:val="32"/>
          <w:szCs w:val="32"/>
        </w:rPr>
        <w:t>300</w:t>
      </w:r>
      <w:r>
        <w:rPr>
          <w:rFonts w:hint="eastAsia" w:eastAsia="仿宋"/>
          <w:sz w:val="32"/>
          <w:szCs w:val="32"/>
        </w:rPr>
        <w:t>批次，均超额完成任务，达到了预期社会效益；屠宰环节病死猪补助资金发放率100%，病死猪无害化处理率100%，保障了畜禽肉产品质量安全。</w:t>
      </w:r>
    </w:p>
    <w:p w14:paraId="4D4C5213">
      <w:pPr>
        <w:spacing w:line="560" w:lineRule="exact"/>
        <w:ind w:firstLine="643" w:firstLineChars="200"/>
      </w:pPr>
      <w:r>
        <w:rPr>
          <w:rFonts w:eastAsia="仿宋"/>
          <w:b/>
          <w:sz w:val="32"/>
          <w:szCs w:val="32"/>
        </w:rPr>
        <w:t>4.</w:t>
      </w:r>
      <w:r>
        <w:rPr>
          <w:rFonts w:hint="eastAsia" w:eastAsia="仿宋"/>
          <w:b/>
          <w:sz w:val="32"/>
          <w:szCs w:val="32"/>
        </w:rPr>
        <w:t>畜牧业转型升级。</w:t>
      </w:r>
      <w:r>
        <w:rPr>
          <w:rFonts w:hint="eastAsia" w:eastAsia="仿宋"/>
          <w:sz w:val="32"/>
          <w:szCs w:val="32"/>
        </w:rPr>
        <w:t>共实施7个项目，已全部完成，完成项目年度绩效目标。实现了养殖环节病死猪补助资金发放率100%，病死猪无害化处理率100%，保障了畜禽肉产品质量安全。</w:t>
      </w:r>
    </w:p>
    <w:p w14:paraId="03F57002">
      <w:pPr>
        <w:spacing w:line="560" w:lineRule="exact"/>
        <w:ind w:firstLine="643" w:firstLineChars="200"/>
        <w:rPr>
          <w:rFonts w:eastAsia="仿宋"/>
          <w:sz w:val="32"/>
          <w:szCs w:val="32"/>
        </w:rPr>
      </w:pPr>
      <w:r>
        <w:rPr>
          <w:rFonts w:eastAsia="仿宋"/>
          <w:b/>
          <w:sz w:val="32"/>
          <w:szCs w:val="32"/>
        </w:rPr>
        <w:t>5.</w:t>
      </w:r>
      <w:r>
        <w:rPr>
          <w:rFonts w:hint="eastAsia" w:eastAsia="仿宋"/>
          <w:b/>
          <w:sz w:val="32"/>
          <w:szCs w:val="32"/>
        </w:rPr>
        <w:t>动植物疫病防控。</w:t>
      </w:r>
      <w:r>
        <w:rPr>
          <w:rFonts w:hint="eastAsia" w:eastAsia="仿宋"/>
          <w:sz w:val="32"/>
          <w:szCs w:val="32"/>
        </w:rPr>
        <w:t>共实施了14个项目，其中已完成10个项目，建设（实施）中4个项目，实施项目中14个项目完成项目年度绩效目标，其中</w:t>
      </w:r>
      <w:r>
        <w:rPr>
          <w:rFonts w:eastAsia="仿宋"/>
          <w:sz w:val="32"/>
          <w:szCs w:val="32"/>
        </w:rPr>
        <w:t>4</w:t>
      </w:r>
      <w:r>
        <w:rPr>
          <w:rFonts w:hint="eastAsia" w:eastAsia="仿宋"/>
          <w:sz w:val="32"/>
          <w:szCs w:val="32"/>
        </w:rPr>
        <w:t>个项目因中央资金下拨较晚，部分县（区）按程序遴选实施主体后，项目开展时间偏晚，但未影响总体绩效目标实现。总体上，实现了畜禽强制免疫病种应免畜禽的免疫密度100%，平均免疫抗体合格率70%，未发生重大动物的目标；通过实施开展草地贪夜蛾防控工作，购置防控药剂及监测设备，有效控制草地贪夜蛾发生态势，无大面积暴发成灾，项目区防控处置率达92%，玉米危害损失率控制在4%。</w:t>
      </w:r>
    </w:p>
    <w:p w14:paraId="79D6ACAD">
      <w:pPr>
        <w:spacing w:line="560" w:lineRule="exact"/>
        <w:ind w:firstLine="643" w:firstLineChars="200"/>
        <w:rPr>
          <w:rFonts w:eastAsia="仿宋"/>
          <w:sz w:val="32"/>
          <w:szCs w:val="32"/>
        </w:rPr>
      </w:pPr>
      <w:r>
        <w:rPr>
          <w:rFonts w:eastAsia="仿宋"/>
          <w:b/>
          <w:sz w:val="32"/>
          <w:szCs w:val="32"/>
        </w:rPr>
        <w:t>6.</w:t>
      </w:r>
      <w:r>
        <w:rPr>
          <w:rFonts w:hint="eastAsia" w:eastAsia="仿宋"/>
          <w:b/>
          <w:sz w:val="32"/>
          <w:szCs w:val="32"/>
        </w:rPr>
        <w:t>推进农业绿色发展。</w:t>
      </w:r>
      <w:r>
        <w:rPr>
          <w:rFonts w:hint="eastAsia" w:eastAsia="仿宋"/>
          <w:sz w:val="32"/>
          <w:szCs w:val="32"/>
        </w:rPr>
        <w:t>共实施12个项目，其中已完工（完成）项目10个，建设（实施）中项目2个，基本完成项目年度预定绩效目标。总体上，通过开展农药、农膜及肥料包装废弃物回收处置、受污染耕地安全利用率、土壤样品采集和农民施服调查等项目，有效防控种植业污染，土壤环境得到了有效保持。</w:t>
      </w:r>
    </w:p>
    <w:p w14:paraId="3BAB72A4">
      <w:pPr>
        <w:spacing w:line="560" w:lineRule="exact"/>
        <w:ind w:firstLine="643" w:firstLineChars="200"/>
        <w:rPr>
          <w:rFonts w:eastAsia="仿宋"/>
          <w:sz w:val="32"/>
          <w:szCs w:val="32"/>
        </w:rPr>
      </w:pPr>
      <w:r>
        <w:rPr>
          <w:rFonts w:eastAsia="仿宋"/>
          <w:b/>
          <w:sz w:val="32"/>
          <w:szCs w:val="32"/>
        </w:rPr>
        <w:t>7.</w:t>
      </w:r>
      <w:r>
        <w:rPr>
          <w:rFonts w:hint="eastAsia" w:eastAsia="仿宋"/>
          <w:b/>
          <w:sz w:val="32"/>
          <w:szCs w:val="32"/>
        </w:rPr>
        <w:t>种业翻身仗。</w:t>
      </w:r>
      <w:r>
        <w:rPr>
          <w:rFonts w:hint="eastAsia" w:eastAsia="仿宋"/>
          <w:sz w:val="32"/>
          <w:szCs w:val="32"/>
        </w:rPr>
        <w:t>共实施1个项目，其中已完工（完成）项目1个，完成项目年度绩效目标。总体上，一是开展水稻优新品种引进示范繁育，建立百亩示范片，加强宣传与育种人员培训；二是开展龙门年橘提纯复壮工作，引进少核年橘200株，印发少核品种宣传单张；三是已建成南昆山毛叶茶原种圃200亩，种苗繁育示范基地10亩。</w:t>
      </w:r>
    </w:p>
    <w:p w14:paraId="3B59D8EB">
      <w:pPr>
        <w:spacing w:line="560" w:lineRule="exact"/>
        <w:ind w:firstLine="643" w:firstLineChars="200"/>
        <w:rPr>
          <w:rFonts w:eastAsia="仿宋"/>
          <w:sz w:val="32"/>
          <w:szCs w:val="32"/>
        </w:rPr>
      </w:pPr>
      <w:r>
        <w:rPr>
          <w:rFonts w:eastAsia="仿宋"/>
          <w:b/>
          <w:sz w:val="32"/>
          <w:szCs w:val="32"/>
        </w:rPr>
        <w:t>8.</w:t>
      </w:r>
      <w:r>
        <w:rPr>
          <w:rFonts w:hint="eastAsia" w:eastAsia="仿宋"/>
          <w:b/>
          <w:sz w:val="32"/>
          <w:szCs w:val="32"/>
        </w:rPr>
        <w:t>政策性农业保险省级财政保费补贴。</w:t>
      </w:r>
      <w:r>
        <w:rPr>
          <w:rFonts w:hint="eastAsia" w:eastAsia="仿宋"/>
          <w:sz w:val="32"/>
          <w:szCs w:val="32"/>
        </w:rPr>
        <w:t>共实施8个项目，已完工8个项目，完成项目年度绩效目标。总体上，完成了政策性农业保险承保工作，提升了农业抵御风险和自救发展的能力，保障了农业生产安全和农产品有效供给，促进农民持续增收。</w:t>
      </w:r>
    </w:p>
    <w:p w14:paraId="00E372F6">
      <w:pPr>
        <w:spacing w:line="560" w:lineRule="exact"/>
        <w:ind w:firstLine="643" w:firstLineChars="200"/>
        <w:rPr>
          <w:rFonts w:eastAsia="仿宋"/>
          <w:sz w:val="32"/>
          <w:szCs w:val="32"/>
        </w:rPr>
      </w:pPr>
      <w:r>
        <w:rPr>
          <w:rFonts w:eastAsia="仿宋"/>
          <w:b/>
          <w:sz w:val="32"/>
          <w:szCs w:val="32"/>
        </w:rPr>
        <w:t>9.</w:t>
      </w:r>
      <w:r>
        <w:rPr>
          <w:rFonts w:hint="eastAsia" w:eastAsia="仿宋"/>
          <w:b/>
          <w:sz w:val="32"/>
          <w:szCs w:val="32"/>
        </w:rPr>
        <w:t>构建现代乡村产业体系。</w:t>
      </w:r>
      <w:r>
        <w:rPr>
          <w:rFonts w:hint="eastAsia" w:eastAsia="仿宋"/>
          <w:sz w:val="32"/>
          <w:szCs w:val="32"/>
        </w:rPr>
        <w:t>共实施11个项目，其中已完成8个项目，建设（实施）中3个项目，实施项目中11个项目完成年度项目绩效目标，3个项目因是先建后补跨年度实施项目，目前项目仍在建设。总体上，通过村企合作、挖掘村域内资源优势，充分发挥党组织的主导作用，村集体经济收入明显增加，基层党组织凝聚力显著增强，项目区农民满意度和项目区基层干部满意度均达到目标值。</w:t>
      </w:r>
    </w:p>
    <w:p w14:paraId="30BDF4B3">
      <w:pPr>
        <w:spacing w:line="560" w:lineRule="exact"/>
        <w:ind w:firstLine="643" w:firstLineChars="200"/>
        <w:rPr>
          <w:rFonts w:eastAsia="仿宋"/>
          <w:sz w:val="32"/>
          <w:szCs w:val="32"/>
        </w:rPr>
      </w:pPr>
      <w:r>
        <w:rPr>
          <w:rFonts w:eastAsia="仿宋"/>
          <w:b/>
          <w:sz w:val="32"/>
          <w:szCs w:val="32"/>
        </w:rPr>
        <w:t>10.</w:t>
      </w:r>
      <w:r>
        <w:rPr>
          <w:rFonts w:hint="eastAsia" w:eastAsia="仿宋"/>
          <w:b/>
          <w:sz w:val="32"/>
          <w:szCs w:val="32"/>
        </w:rPr>
        <w:t>农业生产能力提升。</w:t>
      </w:r>
      <w:r>
        <w:rPr>
          <w:rFonts w:hint="eastAsia" w:eastAsia="仿宋"/>
          <w:sz w:val="32"/>
          <w:szCs w:val="32"/>
        </w:rPr>
        <w:t>共实施25个项目，已完成22个项目，建设中2个项目，未开工1个项目。实施项目中22个项目完成年度项目绩效目标，3个项目尚在场地平整、招标程序中，未完成年度项目预定绩效目标。总体上，完成粮食播种面积170.78万亩、大豆播种面积1.98万亩，粮食产量61.95万吨，连片15亩以上撂荒耕地（省核查图斑内）面积4.21万亩，开展双季稻轮作面积6.57万亩，全市水稻耕种收综合机械化率达84.64%等任务目标，保障了粮食生产安全，促进了粮食增产提质增效，稳定了粮食综合生产能力，粮食适度规模经营水平得到稳步提高。</w:t>
      </w:r>
    </w:p>
    <w:p w14:paraId="02614CC0">
      <w:pPr>
        <w:spacing w:line="560" w:lineRule="exact"/>
        <w:ind w:firstLine="643" w:firstLineChars="200"/>
        <w:rPr>
          <w:rFonts w:eastAsia="仿宋"/>
          <w:sz w:val="32"/>
          <w:szCs w:val="32"/>
        </w:rPr>
      </w:pPr>
      <w:r>
        <w:rPr>
          <w:rFonts w:eastAsia="仿宋"/>
          <w:b/>
          <w:sz w:val="32"/>
          <w:szCs w:val="32"/>
        </w:rPr>
        <w:t>11.</w:t>
      </w:r>
      <w:r>
        <w:rPr>
          <w:rFonts w:hint="eastAsia" w:eastAsia="仿宋"/>
          <w:b/>
          <w:sz w:val="32"/>
          <w:szCs w:val="32"/>
        </w:rPr>
        <w:t>巩固拓展脱贫攻坚成果。</w:t>
      </w:r>
      <w:r>
        <w:rPr>
          <w:rFonts w:hint="eastAsia" w:eastAsia="仿宋"/>
          <w:sz w:val="32"/>
          <w:szCs w:val="32"/>
        </w:rPr>
        <w:t>共实施6个项目，已完工3个，正在推进建设3个项目。实施项目中，3个项目完成项目年度绩效目标。总体上，进一步完善了村基础设施短板，巩固拓展脱贫攻坚成果同乡村振兴有效衔接，推行以工代赈、劳务补助等方式，优先吸纳脱贫不稳定户、边缘易致贫户、其他农村低收入群体参与工程建设、人居环境整治等，促进就业增收。</w:t>
      </w:r>
    </w:p>
    <w:p w14:paraId="69CA18EF">
      <w:pPr>
        <w:spacing w:line="560" w:lineRule="exact"/>
        <w:ind w:firstLine="643" w:firstLineChars="200"/>
        <w:rPr>
          <w:rFonts w:eastAsia="仿宋"/>
          <w:sz w:val="32"/>
          <w:szCs w:val="32"/>
        </w:rPr>
      </w:pPr>
      <w:r>
        <w:rPr>
          <w:rFonts w:eastAsia="仿宋"/>
          <w:b/>
          <w:sz w:val="32"/>
          <w:szCs w:val="32"/>
        </w:rPr>
        <w:t>12. </w:t>
      </w:r>
      <w:r>
        <w:rPr>
          <w:rFonts w:hint="eastAsia" w:eastAsia="仿宋"/>
          <w:b/>
          <w:sz w:val="32"/>
          <w:szCs w:val="32"/>
        </w:rPr>
        <w:t>驻镇帮镇扶村规划编制及工作队工作经费。</w:t>
      </w:r>
      <w:r>
        <w:rPr>
          <w:rFonts w:hint="eastAsia" w:eastAsia="仿宋"/>
          <w:sz w:val="32"/>
          <w:szCs w:val="32"/>
        </w:rPr>
        <w:t>共实施并完工1个项目，完成项目年度绩效目标。总体上，驻镇帮镇扶村工作队扎实落实乡村振兴驻镇帮镇扶村工作，保障了各项驻镇帮镇扶村项目正常开展，有效</w:t>
      </w:r>
      <w:r>
        <w:rPr>
          <w:rFonts w:hint="eastAsia" w:eastAsia="仿宋"/>
          <w:sz w:val="32"/>
          <w:szCs w:val="32"/>
          <w:lang w:val="en-US" w:eastAsia="zh-CN"/>
        </w:rPr>
        <w:t>巩固拓展脱贫攻坚成果</w:t>
      </w:r>
      <w:r>
        <w:rPr>
          <w:rFonts w:hint="eastAsia" w:eastAsia="仿宋"/>
          <w:sz w:val="32"/>
          <w:szCs w:val="32"/>
        </w:rPr>
        <w:t>。</w:t>
      </w:r>
    </w:p>
    <w:p w14:paraId="092B6D59">
      <w:pPr>
        <w:spacing w:line="560" w:lineRule="exact"/>
        <w:ind w:firstLine="643" w:firstLineChars="200"/>
        <w:rPr>
          <w:rFonts w:eastAsia="仿宋"/>
          <w:sz w:val="32"/>
          <w:szCs w:val="32"/>
        </w:rPr>
      </w:pPr>
      <w:r>
        <w:rPr>
          <w:rFonts w:eastAsia="仿宋"/>
          <w:b/>
          <w:sz w:val="32"/>
          <w:szCs w:val="32"/>
        </w:rPr>
        <w:t>13.</w:t>
      </w:r>
      <w:r>
        <w:rPr>
          <w:rFonts w:hint="eastAsia" w:eastAsia="仿宋"/>
          <w:b/>
          <w:sz w:val="32"/>
          <w:szCs w:val="32"/>
        </w:rPr>
        <w:t>全面推进河长制湖长制。</w:t>
      </w:r>
      <w:r>
        <w:rPr>
          <w:rFonts w:hint="eastAsia" w:eastAsia="仿宋"/>
          <w:sz w:val="32"/>
          <w:szCs w:val="32"/>
        </w:rPr>
        <w:t>共实施2个项目，其中已完工（完成）项目1个，建设（实施）中项目1个。实施项目属跨年度实施项目，2022年项目年度绩效目标已完成。取得了1宗水利空间基础设施规划编制成果及17条河流管理范围划定、279条河流地形测量基础资料。</w:t>
      </w:r>
    </w:p>
    <w:p w14:paraId="620E99F7">
      <w:pPr>
        <w:spacing w:line="560" w:lineRule="exact"/>
        <w:ind w:firstLine="640"/>
        <w:rPr>
          <w:rFonts w:eastAsia="仿宋"/>
          <w:sz w:val="32"/>
          <w:szCs w:val="32"/>
        </w:rPr>
      </w:pPr>
      <w:r>
        <w:rPr>
          <w:rFonts w:eastAsia="仿宋"/>
          <w:b/>
          <w:sz w:val="32"/>
          <w:szCs w:val="32"/>
        </w:rPr>
        <w:t>14.</w:t>
      </w:r>
      <w:r>
        <w:rPr>
          <w:rFonts w:hint="eastAsia" w:eastAsia="仿宋"/>
          <w:b/>
          <w:sz w:val="32"/>
          <w:szCs w:val="32"/>
        </w:rPr>
        <w:t>病险水库水闸除险加固工程。</w:t>
      </w:r>
      <w:r>
        <w:rPr>
          <w:rFonts w:hint="eastAsia" w:eastAsia="仿宋"/>
          <w:sz w:val="32"/>
          <w:szCs w:val="32"/>
        </w:rPr>
        <w:t>共实施3个项目，其中已完工（完成）项目2个，建设（实施）中项目1个。实施项目属跨年度实施项目，2022年项目年度绩效目标已完成。总体上，13宗小型水库除险加固项目按计划完成了主体工程建设任务，初步恢复水库设计防洪、灌溉等效益。</w:t>
      </w:r>
    </w:p>
    <w:p w14:paraId="65358021">
      <w:pPr>
        <w:spacing w:line="560" w:lineRule="exact"/>
        <w:ind w:firstLine="640"/>
        <w:rPr>
          <w:rFonts w:eastAsia="仿宋"/>
          <w:sz w:val="32"/>
          <w:szCs w:val="32"/>
        </w:rPr>
      </w:pPr>
      <w:r>
        <w:rPr>
          <w:rFonts w:eastAsia="仿宋"/>
          <w:b/>
          <w:sz w:val="32"/>
          <w:szCs w:val="32"/>
        </w:rPr>
        <w:t>15.</w:t>
      </w:r>
      <w:r>
        <w:rPr>
          <w:rFonts w:hint="eastAsia" w:eastAsia="仿宋"/>
          <w:b/>
          <w:sz w:val="32"/>
          <w:szCs w:val="32"/>
        </w:rPr>
        <w:t>水利安全度汛。</w:t>
      </w:r>
      <w:r>
        <w:rPr>
          <w:rFonts w:hint="eastAsia" w:eastAsia="仿宋"/>
          <w:sz w:val="32"/>
          <w:szCs w:val="32"/>
        </w:rPr>
        <w:t>共实施2个项目，已完工（完成）项目2个，完成项目年度绩效目标。完成水旱灾害风险普查范围面积为2259平方公里，取得了暴雨等值线图修订、降雨径流公式修订及主要河流设计洪水面线复核成果。</w:t>
      </w:r>
    </w:p>
    <w:p w14:paraId="5081654D">
      <w:pPr>
        <w:spacing w:line="560" w:lineRule="exact"/>
        <w:ind w:firstLine="640"/>
        <w:rPr>
          <w:rFonts w:eastAsia="仿宋"/>
          <w:sz w:val="32"/>
          <w:szCs w:val="32"/>
        </w:rPr>
      </w:pPr>
      <w:r>
        <w:rPr>
          <w:rFonts w:eastAsia="仿宋"/>
          <w:b/>
          <w:sz w:val="32"/>
          <w:szCs w:val="32"/>
        </w:rPr>
        <w:t>16.</w:t>
      </w:r>
      <w:r>
        <w:rPr>
          <w:rFonts w:hint="eastAsia" w:eastAsia="仿宋"/>
          <w:b/>
          <w:sz w:val="32"/>
          <w:szCs w:val="32"/>
        </w:rPr>
        <w:t>农村集中供水。</w:t>
      </w:r>
      <w:r>
        <w:rPr>
          <w:rFonts w:hint="eastAsia" w:eastAsia="仿宋"/>
          <w:sz w:val="32"/>
          <w:szCs w:val="32"/>
        </w:rPr>
        <w:t>共实施2个项目，已完工（完成）项目2个，完成项目年度绩效目标。完成集中供水升级改造项目2宗,新增集中供水人口6000人；铺设供水管网5公里。</w:t>
      </w:r>
    </w:p>
    <w:p w14:paraId="0F1829B8">
      <w:pPr>
        <w:spacing w:line="560" w:lineRule="exact"/>
        <w:ind w:firstLine="640"/>
        <w:rPr>
          <w:rFonts w:ascii="仿宋_GB2312" w:eastAsia="仿宋_GB2312"/>
          <w:sz w:val="32"/>
          <w:szCs w:val="32"/>
        </w:rPr>
      </w:pPr>
      <w:r>
        <w:rPr>
          <w:rFonts w:eastAsia="仿宋"/>
          <w:b/>
          <w:sz w:val="32"/>
          <w:szCs w:val="32"/>
        </w:rPr>
        <w:t>17.</w:t>
      </w:r>
      <w:r>
        <w:rPr>
          <w:rFonts w:hint="eastAsia" w:eastAsia="仿宋"/>
          <w:b/>
          <w:sz w:val="32"/>
          <w:szCs w:val="32"/>
        </w:rPr>
        <w:t>农村水利水电。</w:t>
      </w:r>
      <w:r>
        <w:rPr>
          <w:rFonts w:hint="eastAsia" w:eastAsia="仿宋"/>
          <w:sz w:val="32"/>
          <w:szCs w:val="32"/>
        </w:rPr>
        <w:t>共实施2个项目，其中已完工（完成）项目1个，建设（实施）中项目1个，完成项目年度绩效目标。取得了9宗小水电站清理整改评估成果，根据评估成果，加快推进小水电站清理整改工作。</w:t>
      </w:r>
    </w:p>
    <w:p w14:paraId="2D053D27">
      <w:pPr>
        <w:spacing w:line="560" w:lineRule="exact"/>
        <w:ind w:firstLine="640"/>
        <w:rPr>
          <w:rFonts w:ascii="仿宋_GB2312" w:eastAsia="仿宋_GB2312"/>
          <w:sz w:val="32"/>
          <w:szCs w:val="32"/>
        </w:rPr>
      </w:pPr>
      <w:r>
        <w:rPr>
          <w:rFonts w:eastAsia="仿宋"/>
          <w:b/>
          <w:sz w:val="32"/>
          <w:szCs w:val="32"/>
        </w:rPr>
        <w:t>18.</w:t>
      </w:r>
      <w:r>
        <w:rPr>
          <w:rFonts w:hint="eastAsia" w:eastAsia="仿宋"/>
          <w:b/>
          <w:sz w:val="32"/>
          <w:szCs w:val="32"/>
        </w:rPr>
        <w:t>中小河流治理。</w:t>
      </w:r>
      <w:r>
        <w:rPr>
          <w:rFonts w:hint="eastAsia" w:eastAsia="仿宋"/>
          <w:sz w:val="32"/>
          <w:szCs w:val="32"/>
        </w:rPr>
        <w:t>共实施3个项目，已完工（完成）项目3个，完成项目年度绩效目标。完成中小河流治理45.06公里，提高了河道行洪能力。</w:t>
      </w:r>
    </w:p>
    <w:p w14:paraId="3D07DBAF">
      <w:pPr>
        <w:spacing w:line="560" w:lineRule="exact"/>
        <w:ind w:firstLine="640"/>
        <w:rPr>
          <w:rFonts w:eastAsia="仿宋"/>
          <w:sz w:val="32"/>
          <w:szCs w:val="32"/>
        </w:rPr>
      </w:pPr>
      <w:r>
        <w:rPr>
          <w:rFonts w:eastAsia="仿宋"/>
          <w:b/>
          <w:sz w:val="32"/>
          <w:szCs w:val="32"/>
        </w:rPr>
        <w:t>19.</w:t>
      </w:r>
      <w:r>
        <w:rPr>
          <w:rFonts w:hint="eastAsia" w:eastAsia="仿宋"/>
          <w:b/>
          <w:sz w:val="32"/>
          <w:szCs w:val="32"/>
        </w:rPr>
        <w:t>水土保持。</w:t>
      </w:r>
      <w:r>
        <w:rPr>
          <w:rFonts w:hint="eastAsia" w:eastAsia="仿宋"/>
          <w:sz w:val="32"/>
          <w:szCs w:val="32"/>
        </w:rPr>
        <w:t>共实施1个项目，项目已完成，完成项目年度绩效目标。完成1座水库周边绿化治理及1条灌渠渠道绿化治理。</w:t>
      </w:r>
    </w:p>
    <w:p w14:paraId="71838C3B">
      <w:pPr>
        <w:spacing w:line="560" w:lineRule="exact"/>
        <w:ind w:firstLine="640"/>
        <w:rPr>
          <w:rFonts w:ascii="仿宋_GB2312" w:eastAsia="仿宋_GB2312"/>
          <w:sz w:val="32"/>
          <w:szCs w:val="32"/>
        </w:rPr>
      </w:pPr>
      <w:r>
        <w:rPr>
          <w:rFonts w:eastAsia="仿宋"/>
          <w:b/>
          <w:sz w:val="32"/>
          <w:szCs w:val="32"/>
        </w:rPr>
        <w:t>20.</w:t>
      </w:r>
      <w:r>
        <w:rPr>
          <w:rFonts w:hint="eastAsia" w:eastAsia="仿宋"/>
          <w:b/>
          <w:sz w:val="32"/>
          <w:szCs w:val="32"/>
        </w:rPr>
        <w:t>水资源节约与保护。</w:t>
      </w:r>
      <w:r>
        <w:rPr>
          <w:rFonts w:hint="eastAsia" w:eastAsia="仿宋"/>
          <w:sz w:val="32"/>
          <w:szCs w:val="32"/>
        </w:rPr>
        <w:t>共实施2个项目，项目已完成2个，完成项目年度绩效目标。取得市级水资源综合规划修编成果1个；采集取水口经纬度坐标等294个。</w:t>
      </w:r>
    </w:p>
    <w:p w14:paraId="5EA7B475">
      <w:pPr>
        <w:spacing w:line="560" w:lineRule="exact"/>
        <w:ind w:firstLine="640"/>
      </w:pPr>
      <w:r>
        <w:rPr>
          <w:rFonts w:eastAsia="仿宋"/>
          <w:b/>
          <w:sz w:val="32"/>
          <w:szCs w:val="32"/>
        </w:rPr>
        <w:t>21.</w:t>
      </w:r>
      <w:r>
        <w:rPr>
          <w:rFonts w:hint="eastAsia" w:eastAsia="仿宋"/>
          <w:b/>
          <w:sz w:val="32"/>
          <w:szCs w:val="32"/>
        </w:rPr>
        <w:t>水库移民后期扶持。</w:t>
      </w:r>
      <w:r>
        <w:rPr>
          <w:rFonts w:hint="eastAsia" w:eastAsia="仿宋"/>
          <w:sz w:val="32"/>
          <w:szCs w:val="32"/>
        </w:rPr>
        <w:t>共实施21个项目，其中已完工（完成）项目19个，建设（实施）中项目2个。实施项目中，17个项目基本完成项目年度绩效目标，</w:t>
      </w:r>
      <w:r>
        <w:rPr>
          <w:rFonts w:eastAsia="仿宋"/>
          <w:sz w:val="32"/>
          <w:szCs w:val="32"/>
        </w:rPr>
        <w:t>2</w:t>
      </w:r>
      <w:r>
        <w:rPr>
          <w:rFonts w:hint="eastAsia" w:eastAsia="仿宋"/>
          <w:sz w:val="32"/>
          <w:szCs w:val="32"/>
        </w:rPr>
        <w:t>个项目因调整，开工较迟，完工率达到90%，基本完成预定年度绩效目标。总体上，</w:t>
      </w:r>
      <w:r>
        <w:rPr>
          <w:rFonts w:hint="eastAsia" w:eastAsia="仿宋"/>
          <w:kern w:val="0"/>
          <w:sz w:val="32"/>
          <w:szCs w:val="32"/>
        </w:rPr>
        <w:t>取得较好成绩，</w:t>
      </w:r>
      <w:r>
        <w:rPr>
          <w:rFonts w:hint="eastAsia" w:eastAsia="仿宋"/>
          <w:sz w:val="32"/>
          <w:szCs w:val="32"/>
        </w:rPr>
        <w:t>实现了年初预定目标，</w:t>
      </w:r>
      <w:r>
        <w:rPr>
          <w:rFonts w:hint="eastAsia" w:eastAsia="仿宋"/>
          <w:kern w:val="0"/>
          <w:sz w:val="32"/>
          <w:szCs w:val="32"/>
        </w:rPr>
        <w:t>水库移民的获得感、幸福感和安全感更加充实。</w:t>
      </w:r>
    </w:p>
    <w:p w14:paraId="62C2E49D">
      <w:pPr>
        <w:spacing w:line="560" w:lineRule="exact"/>
        <w:ind w:firstLine="643" w:firstLineChars="200"/>
        <w:rPr>
          <w:rFonts w:eastAsia="仿宋"/>
          <w:b/>
          <w:sz w:val="32"/>
          <w:szCs w:val="32"/>
        </w:rPr>
      </w:pPr>
      <w:r>
        <w:rPr>
          <w:rFonts w:eastAsia="仿宋"/>
          <w:b/>
          <w:sz w:val="32"/>
          <w:szCs w:val="32"/>
        </w:rPr>
        <w:t>22.</w:t>
      </w:r>
      <w:r>
        <w:rPr>
          <w:rFonts w:hint="eastAsia" w:eastAsia="仿宋"/>
          <w:b/>
          <w:sz w:val="32"/>
          <w:szCs w:val="32"/>
        </w:rPr>
        <w:t>林业有害生物防控。</w:t>
      </w:r>
      <w:r>
        <w:rPr>
          <w:rFonts w:hint="eastAsia" w:eastAsia="仿宋"/>
          <w:sz w:val="32"/>
          <w:szCs w:val="32"/>
        </w:rPr>
        <w:t>共实施3个项目，均已完工（完成），完成项目年度绩效目标。共完成林业有害生物防治面积25万亩，松材线虫病防治面积15万亩，林业有害生物成灾率低于 8.2‰。</w:t>
      </w:r>
    </w:p>
    <w:p w14:paraId="69C93B64">
      <w:pPr>
        <w:spacing w:line="560" w:lineRule="exact"/>
        <w:ind w:firstLine="643" w:firstLineChars="200"/>
        <w:rPr>
          <w:rFonts w:eastAsia="仿宋"/>
          <w:b/>
          <w:sz w:val="32"/>
          <w:szCs w:val="32"/>
        </w:rPr>
      </w:pPr>
      <w:r>
        <w:rPr>
          <w:rFonts w:eastAsia="仿宋"/>
          <w:b/>
          <w:sz w:val="32"/>
          <w:szCs w:val="32"/>
        </w:rPr>
        <w:t>23.</w:t>
      </w:r>
      <w:r>
        <w:rPr>
          <w:rFonts w:hint="eastAsia" w:eastAsia="仿宋"/>
          <w:b/>
          <w:sz w:val="32"/>
          <w:szCs w:val="32"/>
        </w:rPr>
        <w:t>自然保护地整合优化。</w:t>
      </w:r>
      <w:r>
        <w:rPr>
          <w:rFonts w:hint="eastAsia" w:eastAsia="仿宋"/>
          <w:sz w:val="32"/>
          <w:szCs w:val="32"/>
        </w:rPr>
        <w:t>共实施2个项目，其中已完工（完成）项目1个，建设（实施）中项目1个，实施项目完成项目年度绩效目标。开展了惠州平安山（480.42公顷）、象头山（623.28公顷）省级森林公园科学考察、总体规划编制、勘界立标工作，完成市本级（省级森林公园）自然保护地整合优化预案落地的50%，初步明确龙门自然保护地范围及管控区划边界，自然保护地范围边界矢量化数据制作累计完成率达到50%，自然保护区科学考察工作累计完成率50%。</w:t>
      </w:r>
    </w:p>
    <w:p w14:paraId="67F85BCB">
      <w:pPr>
        <w:pStyle w:val="8"/>
        <w:spacing w:line="560" w:lineRule="exact"/>
        <w:ind w:firstLine="640"/>
        <w:rPr>
          <w:rFonts w:eastAsia="仿宋"/>
          <w:b/>
          <w:szCs w:val="32"/>
        </w:rPr>
      </w:pPr>
      <w:r>
        <w:rPr>
          <w:rFonts w:eastAsia="仿宋"/>
          <w:b/>
          <w:szCs w:val="32"/>
        </w:rPr>
        <w:t>24.</w:t>
      </w:r>
      <w:r>
        <w:rPr>
          <w:rFonts w:hint="eastAsia" w:eastAsia="仿宋"/>
          <w:b/>
          <w:szCs w:val="32"/>
        </w:rPr>
        <w:t>政策性森林保险省级财政保费补贴。</w:t>
      </w:r>
      <w:r>
        <w:rPr>
          <w:rFonts w:hint="eastAsia" w:eastAsia="仿宋"/>
          <w:color w:val="000000"/>
          <w:kern w:val="0"/>
          <w:szCs w:val="32"/>
        </w:rPr>
        <w:t>共实施3个项目，已完成项目3个，完成项目年度绩效目标。完成公益林455.5万亩投保任务，实现了生态公益林森林保险全覆盖，提升林业抵御风险和自救发展的能力，保障林业生产安全和林产品有效供给。</w:t>
      </w:r>
    </w:p>
    <w:p w14:paraId="3DE66D3D">
      <w:pPr>
        <w:spacing w:line="560" w:lineRule="exact"/>
        <w:ind w:firstLine="643" w:firstLineChars="200"/>
        <w:rPr>
          <w:rFonts w:eastAsia="仿宋"/>
          <w:color w:val="000000"/>
          <w:kern w:val="0"/>
          <w:sz w:val="32"/>
          <w:szCs w:val="32"/>
        </w:rPr>
      </w:pPr>
      <w:r>
        <w:rPr>
          <w:rFonts w:eastAsia="仿宋"/>
          <w:b/>
          <w:sz w:val="32"/>
          <w:szCs w:val="32"/>
        </w:rPr>
        <w:t>25.</w:t>
      </w:r>
      <w:r>
        <w:rPr>
          <w:rFonts w:hint="eastAsia" w:eastAsia="仿宋"/>
          <w:b/>
          <w:sz w:val="32"/>
          <w:szCs w:val="32"/>
        </w:rPr>
        <w:t>造林及抚育。</w:t>
      </w:r>
      <w:r>
        <w:rPr>
          <w:rFonts w:hint="eastAsia" w:eastAsia="仿宋"/>
          <w:sz w:val="32"/>
          <w:szCs w:val="32"/>
        </w:rPr>
        <w:t>共实施7个项目，其中已完工（完成）项目6个，建设（实施）中项目1个，完成项目年度绩效目标。共</w:t>
      </w:r>
      <w:r>
        <w:rPr>
          <w:rFonts w:hint="eastAsia" w:eastAsia="仿宋"/>
          <w:color w:val="000000"/>
          <w:kern w:val="0"/>
          <w:sz w:val="32"/>
          <w:szCs w:val="32"/>
        </w:rPr>
        <w:t>完成造林面积3.87万亩，新造林抚育3.52万亩，红树林造林0.0356万亩。</w:t>
      </w:r>
    </w:p>
    <w:p w14:paraId="4BF9859E">
      <w:pPr>
        <w:spacing w:line="560" w:lineRule="exact"/>
        <w:ind w:firstLine="643" w:firstLineChars="200"/>
        <w:rPr>
          <w:rFonts w:ascii="仿宋" w:eastAsia="仿宋"/>
          <w:sz w:val="32"/>
          <w:szCs w:val="32"/>
        </w:rPr>
      </w:pPr>
      <w:r>
        <w:rPr>
          <w:rFonts w:eastAsia="仿宋"/>
          <w:b/>
          <w:sz w:val="32"/>
          <w:szCs w:val="32"/>
        </w:rPr>
        <w:t>26.</w:t>
      </w:r>
      <w:r>
        <w:rPr>
          <w:rFonts w:hint="eastAsia" w:eastAsia="仿宋"/>
          <w:b/>
          <w:sz w:val="32"/>
          <w:szCs w:val="32"/>
        </w:rPr>
        <w:t>野生动植物资源保护及疫源疫病监测。</w:t>
      </w:r>
      <w:r>
        <w:rPr>
          <w:rFonts w:hint="eastAsia" w:ascii="仿宋" w:eastAsia="仿宋"/>
          <w:sz w:val="32"/>
          <w:szCs w:val="32"/>
        </w:rPr>
        <w:t>实施项目1个，已完工，</w:t>
      </w:r>
      <w:r>
        <w:rPr>
          <w:rFonts w:hint="eastAsia" w:eastAsia="仿宋"/>
          <w:sz w:val="32"/>
          <w:szCs w:val="32"/>
        </w:rPr>
        <w:t>完成项目年度绩效目标。顺利完成2022年度</w:t>
      </w:r>
      <w:r>
        <w:rPr>
          <w:rFonts w:hint="eastAsia" w:ascii="仿宋" w:eastAsia="仿宋"/>
          <w:sz w:val="32"/>
          <w:szCs w:val="32"/>
        </w:rPr>
        <w:t>惠东野生动物救治工作。</w:t>
      </w:r>
    </w:p>
    <w:p w14:paraId="3E87CAAD">
      <w:pPr>
        <w:spacing w:line="560" w:lineRule="exact"/>
        <w:ind w:firstLine="643" w:firstLineChars="200"/>
        <w:rPr>
          <w:rFonts w:eastAsia="仿宋"/>
          <w:b/>
          <w:sz w:val="32"/>
          <w:szCs w:val="32"/>
        </w:rPr>
      </w:pPr>
      <w:r>
        <w:rPr>
          <w:rFonts w:eastAsia="仿宋"/>
          <w:b/>
          <w:sz w:val="32"/>
          <w:szCs w:val="32"/>
        </w:rPr>
        <w:t>27.</w:t>
      </w:r>
      <w:r>
        <w:rPr>
          <w:rFonts w:hint="eastAsia" w:eastAsia="仿宋"/>
          <w:b/>
          <w:sz w:val="32"/>
          <w:szCs w:val="32"/>
        </w:rPr>
        <w:t>森林资源保护与监测。</w:t>
      </w:r>
      <w:r>
        <w:rPr>
          <w:rFonts w:hint="eastAsia" w:ascii="仿宋" w:eastAsia="仿宋"/>
          <w:sz w:val="32"/>
          <w:szCs w:val="32"/>
        </w:rPr>
        <w:t>实施项目1个，已完工，</w:t>
      </w:r>
      <w:r>
        <w:rPr>
          <w:rFonts w:hint="eastAsia" w:eastAsia="仿宋"/>
          <w:sz w:val="32"/>
          <w:szCs w:val="32"/>
        </w:rPr>
        <w:t>完成项目年度绩效目标。总体上，完成了森林资源一张图更新工作，加强森林防火工作，实施森林资源监测到位，保障森林资源数据监管和更新工作。</w:t>
      </w:r>
    </w:p>
    <w:p w14:paraId="7A77253D">
      <w:pPr>
        <w:spacing w:line="560" w:lineRule="exact"/>
        <w:ind w:firstLine="643" w:firstLineChars="200"/>
        <w:rPr>
          <w:rFonts w:ascii="仿宋" w:eastAsia="仿宋"/>
          <w:sz w:val="32"/>
          <w:szCs w:val="32"/>
        </w:rPr>
      </w:pPr>
      <w:r>
        <w:rPr>
          <w:rFonts w:eastAsia="仿宋"/>
          <w:b/>
          <w:sz w:val="32"/>
          <w:szCs w:val="32"/>
        </w:rPr>
        <w:t>28.</w:t>
      </w:r>
      <w:r>
        <w:rPr>
          <w:rFonts w:hint="eastAsia" w:eastAsia="仿宋"/>
          <w:b/>
          <w:sz w:val="32"/>
          <w:szCs w:val="32"/>
        </w:rPr>
        <w:t>林业产业发展。</w:t>
      </w:r>
      <w:r>
        <w:rPr>
          <w:rFonts w:hint="eastAsia" w:ascii="仿宋" w:eastAsia="仿宋"/>
          <w:sz w:val="32"/>
          <w:szCs w:val="32"/>
        </w:rPr>
        <w:t>实施项目1个，已完工，</w:t>
      </w:r>
      <w:r>
        <w:rPr>
          <w:rFonts w:hint="eastAsia" w:eastAsia="仿宋"/>
          <w:sz w:val="32"/>
          <w:szCs w:val="32"/>
        </w:rPr>
        <w:t>完成项目年度绩效目标。总共</w:t>
      </w:r>
      <w:r>
        <w:rPr>
          <w:rFonts w:hint="eastAsia" w:ascii="仿宋" w:eastAsia="仿宋"/>
          <w:sz w:val="32"/>
          <w:szCs w:val="32"/>
        </w:rPr>
        <w:t>完成寨场山生态景观带樱花园绿化330亩。</w:t>
      </w:r>
    </w:p>
    <w:p w14:paraId="47DC7F8F">
      <w:pPr>
        <w:spacing w:line="560" w:lineRule="exact"/>
        <w:ind w:firstLine="643" w:firstLineChars="200"/>
        <w:rPr>
          <w:rFonts w:eastAsia="仿宋"/>
          <w:sz w:val="32"/>
          <w:szCs w:val="32"/>
        </w:rPr>
      </w:pPr>
      <w:r>
        <w:rPr>
          <w:rFonts w:eastAsia="仿宋"/>
          <w:b/>
          <w:sz w:val="32"/>
          <w:szCs w:val="32"/>
        </w:rPr>
        <w:t>29.</w:t>
      </w:r>
      <w:r>
        <w:rPr>
          <w:rFonts w:hint="eastAsia" w:eastAsia="仿宋"/>
          <w:b/>
          <w:sz w:val="32"/>
          <w:szCs w:val="32"/>
        </w:rPr>
        <w:t>森林火灾预防。</w:t>
      </w:r>
      <w:r>
        <w:rPr>
          <w:rFonts w:hint="eastAsia" w:eastAsia="仿宋"/>
          <w:sz w:val="32"/>
          <w:szCs w:val="32"/>
        </w:rPr>
        <w:t>共实施3个项目，其中已完工（完成）项目1个，建设（实施）中项目2个，实施中项目为跨年度项目，3个项目均完成年度项目绩效目标</w:t>
      </w:r>
      <w:r>
        <w:rPr>
          <w:rFonts w:hint="eastAsia" w:ascii="仿宋" w:eastAsia="仿宋"/>
          <w:sz w:val="32"/>
          <w:szCs w:val="32"/>
        </w:rPr>
        <w:t>。</w:t>
      </w:r>
      <w:r>
        <w:rPr>
          <w:rFonts w:hint="eastAsia" w:eastAsia="仿宋"/>
          <w:sz w:val="32"/>
          <w:szCs w:val="32"/>
        </w:rPr>
        <w:t>完成100个标准地、14个大样地的可燃物外业调查，样品送检分析，数据填报审核，完成所在区域森林火灾的野外火源、历史火灾、减灾能力等第一阶段风险要素的外内业调查任务。</w:t>
      </w:r>
    </w:p>
    <w:p w14:paraId="71166817">
      <w:pPr>
        <w:spacing w:line="560" w:lineRule="exact"/>
        <w:ind w:firstLine="640"/>
        <w:rPr>
          <w:rFonts w:ascii="仿宋" w:eastAsia="仿宋"/>
          <w:b/>
          <w:sz w:val="32"/>
          <w:szCs w:val="32"/>
        </w:rPr>
      </w:pPr>
      <w:r>
        <w:rPr>
          <w:rFonts w:eastAsia="仿宋"/>
          <w:b/>
          <w:sz w:val="32"/>
          <w:szCs w:val="32"/>
        </w:rPr>
        <w:t>30.</w:t>
      </w:r>
      <w:r>
        <w:rPr>
          <w:rFonts w:hint="eastAsia" w:eastAsia="仿宋"/>
          <w:b/>
          <w:sz w:val="32"/>
          <w:szCs w:val="32"/>
        </w:rPr>
        <w:t>永久基本农田保护。</w:t>
      </w:r>
      <w:r>
        <w:rPr>
          <w:rFonts w:hint="eastAsia" w:eastAsia="仿宋"/>
          <w:sz w:val="32"/>
          <w:szCs w:val="32"/>
        </w:rPr>
        <w:t>实施项目5个，均已完工，完成项目年度绩效目标。补贴资金的发放大大激发起农民种粮的积极性，从而稳定农民耕地面积和范围，有效提高了村民永久基本农田的保护意识。</w:t>
      </w:r>
    </w:p>
    <w:p w14:paraId="03A41DB7">
      <w:pPr>
        <w:spacing w:line="560" w:lineRule="exact"/>
        <w:ind w:firstLine="643" w:firstLineChars="200"/>
        <w:rPr>
          <w:rFonts w:ascii="仿宋" w:eastAsia="仿宋"/>
          <w:b/>
          <w:sz w:val="32"/>
          <w:szCs w:val="32"/>
        </w:rPr>
      </w:pPr>
      <w:r>
        <w:rPr>
          <w:rFonts w:eastAsia="仿宋"/>
          <w:b/>
          <w:sz w:val="32"/>
          <w:szCs w:val="32"/>
        </w:rPr>
        <w:t>31.</w:t>
      </w:r>
      <w:r>
        <w:rPr>
          <w:rFonts w:hint="eastAsia" w:eastAsia="仿宋"/>
          <w:b/>
          <w:sz w:val="32"/>
          <w:szCs w:val="32"/>
        </w:rPr>
        <w:t>农村生活污水治理。</w:t>
      </w:r>
      <w:r>
        <w:rPr>
          <w:rFonts w:hint="eastAsia" w:eastAsia="仿宋_GB2312"/>
          <w:sz w:val="32"/>
          <w:szCs w:val="32"/>
        </w:rPr>
        <w:t>实施项目6个，均已完工，完成</w:t>
      </w:r>
      <w:r>
        <w:rPr>
          <w:rFonts w:hint="eastAsia" w:ascii="仿宋_GB2312" w:eastAsia="仿宋_GB2312"/>
          <w:sz w:val="32"/>
          <w:szCs w:val="32"/>
        </w:rPr>
        <w:t>项目年度绩效目标。顺利完成</w:t>
      </w:r>
      <w:r>
        <w:rPr>
          <w:rFonts w:hint="eastAsia" w:eastAsia="仿宋_GB2312"/>
          <w:sz w:val="32"/>
          <w:szCs w:val="32"/>
        </w:rPr>
        <w:t>我市50个省民生实事自然村生活污水治理任务。</w:t>
      </w:r>
    </w:p>
    <w:p w14:paraId="4A14A390">
      <w:pPr>
        <w:spacing w:line="560" w:lineRule="exact"/>
        <w:ind w:firstLine="640"/>
        <w:rPr>
          <w:rFonts w:ascii="仿宋" w:eastAsia="仿宋"/>
          <w:b/>
          <w:sz w:val="32"/>
          <w:szCs w:val="32"/>
        </w:rPr>
      </w:pPr>
      <w:r>
        <w:rPr>
          <w:rFonts w:eastAsia="仿宋"/>
          <w:b/>
          <w:sz w:val="32"/>
          <w:szCs w:val="32"/>
        </w:rPr>
        <w:t>32.</w:t>
      </w:r>
      <w:r>
        <w:rPr>
          <w:rFonts w:hint="eastAsia" w:eastAsia="仿宋"/>
          <w:b/>
          <w:sz w:val="32"/>
          <w:szCs w:val="32"/>
        </w:rPr>
        <w:t>四好农村路建设。</w:t>
      </w:r>
      <w:r>
        <w:rPr>
          <w:rFonts w:hint="eastAsia" w:ascii="仿宋_GB2312" w:eastAsia="仿宋_GB2312"/>
          <w:sz w:val="32"/>
          <w:szCs w:val="32"/>
        </w:rPr>
        <w:t>共实施86个项目，其中已完工项目80个，建设中项目6个。实施项目中，80个项目基本完成项目年度绩效目标并在当年度投入使用。总体上，改善了项目所在地的农村人居环境和车辆通行安全，推进了乡村振兴工作。</w:t>
      </w:r>
    </w:p>
    <w:p w14:paraId="14D399FD">
      <w:pPr>
        <w:spacing w:line="560" w:lineRule="exact"/>
        <w:ind w:firstLine="640"/>
        <w:rPr>
          <w:rFonts w:eastAsia="仿宋"/>
          <w:sz w:val="32"/>
          <w:szCs w:val="32"/>
        </w:rPr>
      </w:pPr>
      <w:r>
        <w:rPr>
          <w:rFonts w:eastAsia="仿宋"/>
          <w:b/>
          <w:sz w:val="32"/>
          <w:szCs w:val="32"/>
        </w:rPr>
        <w:t>33.</w:t>
      </w:r>
      <w:r>
        <w:rPr>
          <w:rFonts w:hint="eastAsia" w:eastAsia="仿宋"/>
          <w:b/>
          <w:sz w:val="32"/>
          <w:szCs w:val="32"/>
        </w:rPr>
        <w:t>四好农村路养护。</w:t>
      </w:r>
      <w:r>
        <w:rPr>
          <w:rFonts w:hint="eastAsia" w:eastAsia="仿宋"/>
          <w:sz w:val="32"/>
          <w:szCs w:val="32"/>
        </w:rPr>
        <w:t>共实施34个项目，其中已完工项目26个，建设中项目6个，未启动项目2个。实施项目中，26个项目基本完成项目年度绩效目标并投入使用。共完成农村公路养护里程共11</w:t>
      </w:r>
      <w:r>
        <w:rPr>
          <w:rFonts w:eastAsia="仿宋"/>
          <w:sz w:val="32"/>
          <w:szCs w:val="30"/>
        </w:rPr>
        <w:t>,</w:t>
      </w:r>
      <w:r>
        <w:rPr>
          <w:rFonts w:eastAsia="仿宋"/>
          <w:sz w:val="32"/>
          <w:szCs w:val="32"/>
        </w:rPr>
        <w:t>215.692</w:t>
      </w:r>
      <w:r>
        <w:rPr>
          <w:rFonts w:hint="eastAsia" w:eastAsia="仿宋"/>
          <w:sz w:val="32"/>
          <w:szCs w:val="32"/>
        </w:rPr>
        <w:t>公里，其中县道588.688公里，乡道5</w:t>
      </w:r>
      <w:r>
        <w:rPr>
          <w:rFonts w:eastAsia="仿宋"/>
          <w:sz w:val="32"/>
          <w:szCs w:val="30"/>
        </w:rPr>
        <w:t>,</w:t>
      </w:r>
      <w:r>
        <w:rPr>
          <w:rFonts w:eastAsia="仿宋"/>
          <w:sz w:val="32"/>
          <w:szCs w:val="32"/>
        </w:rPr>
        <w:t>809.056</w:t>
      </w:r>
      <w:r>
        <w:rPr>
          <w:rFonts w:hint="eastAsia" w:eastAsia="仿宋"/>
          <w:sz w:val="32"/>
          <w:szCs w:val="32"/>
        </w:rPr>
        <w:t>公里，村道4</w:t>
      </w:r>
      <w:r>
        <w:rPr>
          <w:rFonts w:eastAsia="仿宋"/>
          <w:sz w:val="32"/>
          <w:szCs w:val="30"/>
        </w:rPr>
        <w:t>,</w:t>
      </w:r>
      <w:r>
        <w:rPr>
          <w:rFonts w:eastAsia="仿宋"/>
          <w:sz w:val="32"/>
          <w:szCs w:val="32"/>
        </w:rPr>
        <w:t>817.948</w:t>
      </w:r>
      <w:r>
        <w:rPr>
          <w:rFonts w:hint="eastAsia" w:eastAsia="仿宋"/>
          <w:sz w:val="32"/>
          <w:szCs w:val="32"/>
        </w:rPr>
        <w:t>公里，实现全市农村公路养护全覆盖，农村公路列养率达到100%。</w:t>
      </w:r>
    </w:p>
    <w:p w14:paraId="14C74E1D">
      <w:pPr>
        <w:spacing w:line="560" w:lineRule="exact"/>
        <w:ind w:firstLine="640"/>
        <w:rPr>
          <w:rFonts w:ascii="仿宋" w:eastAsia="仿宋"/>
          <w:b/>
          <w:sz w:val="32"/>
          <w:szCs w:val="32"/>
        </w:rPr>
      </w:pPr>
      <w:r>
        <w:rPr>
          <w:rFonts w:eastAsia="仿宋"/>
          <w:b/>
          <w:sz w:val="32"/>
          <w:szCs w:val="32"/>
        </w:rPr>
        <w:t>34.</w:t>
      </w:r>
      <w:r>
        <w:rPr>
          <w:rFonts w:hint="eastAsia" w:eastAsia="仿宋"/>
          <w:b/>
          <w:sz w:val="32"/>
          <w:szCs w:val="32"/>
        </w:rPr>
        <w:t>乡村生活垃圾处理。</w:t>
      </w:r>
      <w:r>
        <w:rPr>
          <w:rFonts w:hint="eastAsia" w:ascii="仿宋" w:eastAsia="仿宋"/>
          <w:sz w:val="32"/>
          <w:szCs w:val="32"/>
        </w:rPr>
        <w:t>共实施1个项目，项目已完成，完成项目年度绩效目标。惠城区五镇及水口街道行政村通过实施市场一体化服务，实现“户收集、村集中、镇（街道）转运、区处理”全覆盖的收运体制，使农村生活垃圾保洁、收运系统日趋完善，生活垃圾处理能力不断提高，无害化处理水平总体上有较大改善</w:t>
      </w:r>
      <w:r>
        <w:rPr>
          <w:rFonts w:hint="eastAsia" w:eastAsia="仿宋_GB2312"/>
          <w:sz w:val="32"/>
          <w:szCs w:val="32"/>
        </w:rPr>
        <w:t>。</w:t>
      </w:r>
    </w:p>
    <w:p w14:paraId="3D0C61C9">
      <w:pPr>
        <w:pStyle w:val="17"/>
        <w:spacing w:line="560" w:lineRule="exact"/>
        <w:ind w:firstLine="640"/>
        <w:rPr>
          <w:rFonts w:ascii="仿宋" w:eastAsia="仿宋"/>
          <w:b/>
          <w:sz w:val="32"/>
          <w:szCs w:val="32"/>
        </w:rPr>
      </w:pPr>
      <w:r>
        <w:rPr>
          <w:rFonts w:eastAsia="仿宋"/>
          <w:b/>
          <w:sz w:val="32"/>
          <w:szCs w:val="32"/>
        </w:rPr>
        <w:t>35.</w:t>
      </w:r>
      <w:r>
        <w:rPr>
          <w:rFonts w:hint="eastAsia" w:eastAsia="仿宋"/>
          <w:b/>
          <w:sz w:val="32"/>
          <w:szCs w:val="32"/>
        </w:rPr>
        <w:t>巨灾保险。</w:t>
      </w:r>
      <w:r>
        <w:rPr>
          <w:rFonts w:hint="eastAsia" w:eastAsia="仿宋"/>
          <w:sz w:val="32"/>
          <w:szCs w:val="32"/>
        </w:rPr>
        <w:t>共实施1个项目，项目已完成，实现了预期绩效目标。投保巨灾指数保险，提升我市应对突发事件应急管理和抗灾救灾效率，加强应对自然灾害能力，202</w:t>
      </w:r>
      <w:r>
        <w:rPr>
          <w:rFonts w:eastAsia="仿宋"/>
          <w:sz w:val="32"/>
          <w:szCs w:val="32"/>
        </w:rPr>
        <w:t>2</w:t>
      </w:r>
      <w:r>
        <w:rPr>
          <w:rFonts w:hint="eastAsia" w:eastAsia="仿宋"/>
          <w:sz w:val="32"/>
          <w:szCs w:val="32"/>
        </w:rPr>
        <w:t>年因强降雨累计获得理赔款2</w:t>
      </w:r>
      <w:r>
        <w:rPr>
          <w:rFonts w:eastAsia="仿宋"/>
          <w:sz w:val="32"/>
          <w:szCs w:val="30"/>
        </w:rPr>
        <w:t>,</w:t>
      </w:r>
      <w:r>
        <w:rPr>
          <w:rFonts w:eastAsia="仿宋"/>
          <w:sz w:val="32"/>
          <w:szCs w:val="32"/>
        </w:rPr>
        <w:t>472</w:t>
      </w:r>
      <w:r>
        <w:rPr>
          <w:rFonts w:hint="eastAsia" w:eastAsia="仿宋"/>
          <w:sz w:val="32"/>
          <w:szCs w:val="32"/>
        </w:rPr>
        <w:t>万元，实现达到触发条件下赔偿完整性100%。</w:t>
      </w:r>
    </w:p>
    <w:p w14:paraId="1F103F27">
      <w:pPr>
        <w:pStyle w:val="17"/>
        <w:spacing w:line="560" w:lineRule="exact"/>
        <w:ind w:firstLine="640"/>
        <w:rPr>
          <w:rFonts w:ascii="仿宋_GB2312" w:eastAsia="仿宋_GB2312"/>
          <w:sz w:val="32"/>
          <w:szCs w:val="32"/>
        </w:rPr>
      </w:pPr>
      <w:r>
        <w:rPr>
          <w:rFonts w:eastAsia="仿宋"/>
          <w:b/>
          <w:sz w:val="32"/>
          <w:szCs w:val="32"/>
        </w:rPr>
        <w:t>36.</w:t>
      </w:r>
      <w:r>
        <w:rPr>
          <w:rFonts w:hint="eastAsia" w:eastAsia="仿宋"/>
          <w:b/>
          <w:sz w:val="32"/>
          <w:szCs w:val="32"/>
        </w:rPr>
        <w:t>工作经费。</w:t>
      </w:r>
      <w:r>
        <w:rPr>
          <w:rFonts w:hint="eastAsia" w:eastAsia="仿宋"/>
          <w:sz w:val="32"/>
          <w:szCs w:val="32"/>
        </w:rPr>
        <w:t>共实施1个项目，已完成，实现了预期绩效目标。通过聘请第三方机构对2021年省级涉农资金项目进行绩效评价工作，针对存在问题督促落实整改，强化事后绩效管理，提高资金使用效益。</w:t>
      </w:r>
    </w:p>
    <w:p w14:paraId="4D537A8F">
      <w:pPr>
        <w:pStyle w:val="8"/>
        <w:spacing w:line="560" w:lineRule="exact"/>
        <w:ind w:firstLine="640"/>
        <w:rPr>
          <w:rFonts w:ascii="楷体_GB2312" w:eastAsia="楷体_GB2312"/>
          <w:szCs w:val="32"/>
        </w:rPr>
      </w:pPr>
      <w:r>
        <w:rPr>
          <w:rFonts w:hint="eastAsia" w:ascii="楷体_GB2312" w:eastAsia="楷体_GB2312"/>
          <w:szCs w:val="32"/>
        </w:rPr>
        <w:t>（三）考核工作及大事要事绩效目标完成情况分析</w:t>
      </w:r>
    </w:p>
    <w:p w14:paraId="16918D0E">
      <w:pPr>
        <w:spacing w:line="560" w:lineRule="exact"/>
        <w:ind w:firstLine="643" w:firstLineChars="200"/>
        <w:rPr>
          <w:rFonts w:eastAsia="仿宋"/>
          <w:sz w:val="32"/>
          <w:szCs w:val="32"/>
        </w:rPr>
      </w:pPr>
      <w:r>
        <w:rPr>
          <w:rFonts w:eastAsia="仿宋"/>
          <w:b/>
          <w:sz w:val="32"/>
          <w:szCs w:val="32"/>
        </w:rPr>
        <w:t>1.</w:t>
      </w:r>
      <w:r>
        <w:rPr>
          <w:rFonts w:hint="eastAsia" w:eastAsia="仿宋"/>
          <w:b/>
          <w:sz w:val="32"/>
          <w:szCs w:val="32"/>
        </w:rPr>
        <w:t>巩固拓展脱贫攻坚成果。</w:t>
      </w:r>
      <w:r>
        <w:rPr>
          <w:rFonts w:hint="eastAsia" w:eastAsia="仿宋"/>
          <w:sz w:val="32"/>
          <w:szCs w:val="32"/>
        </w:rPr>
        <w:t>省级下达任务为：防止返贫致贫，对脱贫不稳定户、边缘易致贫户、突发严重困难户及时采取有针对性的预防性措施和事后帮扶措施，守住防止规模性返贫底线。</w:t>
      </w:r>
      <w:r>
        <w:rPr>
          <w:rFonts w:hint="eastAsia" w:eastAsia="仿宋"/>
          <w:sz w:val="32"/>
          <w:szCs w:val="32"/>
          <w:lang w:eastAsia="zh-CN"/>
        </w:rPr>
        <w:t>截至</w:t>
      </w:r>
      <w:r>
        <w:rPr>
          <w:rFonts w:hint="eastAsia" w:eastAsia="仿宋"/>
          <w:sz w:val="32"/>
          <w:szCs w:val="32"/>
        </w:rPr>
        <w:t>2022年12月底，全市</w:t>
      </w:r>
      <w:r>
        <w:rPr>
          <w:rFonts w:eastAsia="仿宋"/>
          <w:sz w:val="32"/>
          <w:szCs w:val="32"/>
        </w:rPr>
        <w:t>46</w:t>
      </w:r>
      <w:r>
        <w:rPr>
          <w:rFonts w:hint="eastAsia" w:eastAsia="仿宋"/>
          <w:sz w:val="32"/>
          <w:szCs w:val="32"/>
        </w:rPr>
        <w:t>个脱贫村基础设施及公共服务完善，14</w:t>
      </w:r>
      <w:r>
        <w:rPr>
          <w:rFonts w:eastAsia="仿宋"/>
          <w:sz w:val="32"/>
          <w:szCs w:val="30"/>
        </w:rPr>
        <w:t>,</w:t>
      </w:r>
      <w:r>
        <w:rPr>
          <w:rFonts w:eastAsia="仿宋"/>
          <w:sz w:val="32"/>
          <w:szCs w:val="32"/>
        </w:rPr>
        <w:t>110</w:t>
      </w:r>
      <w:r>
        <w:rPr>
          <w:rFonts w:hint="eastAsia" w:eastAsia="仿宋"/>
          <w:sz w:val="32"/>
          <w:szCs w:val="32"/>
        </w:rPr>
        <w:t>户33</w:t>
      </w:r>
      <w:r>
        <w:rPr>
          <w:rFonts w:eastAsia="仿宋"/>
          <w:sz w:val="32"/>
          <w:szCs w:val="30"/>
        </w:rPr>
        <w:t>,</w:t>
      </w:r>
      <w:r>
        <w:rPr>
          <w:rFonts w:eastAsia="仿宋"/>
          <w:sz w:val="32"/>
          <w:szCs w:val="32"/>
        </w:rPr>
        <w:t>567</w:t>
      </w:r>
      <w:r>
        <w:rPr>
          <w:rFonts w:hint="eastAsia" w:eastAsia="仿宋"/>
          <w:sz w:val="32"/>
          <w:szCs w:val="32"/>
        </w:rPr>
        <w:t>人脱贫人口基本生活、教育、住房、医疗和饮水安全保障到位，没有发生规模性返贫现象，全市有劳动能力脱贫人口人均可支配收入22</w:t>
      </w:r>
      <w:r>
        <w:rPr>
          <w:rFonts w:eastAsia="仿宋"/>
          <w:sz w:val="32"/>
          <w:szCs w:val="30"/>
        </w:rPr>
        <w:t>,</w:t>
      </w:r>
      <w:r>
        <w:rPr>
          <w:rFonts w:eastAsia="仿宋"/>
          <w:sz w:val="32"/>
          <w:szCs w:val="32"/>
        </w:rPr>
        <w:t>785</w:t>
      </w:r>
      <w:r>
        <w:rPr>
          <w:rFonts w:hint="eastAsia" w:eastAsia="仿宋"/>
          <w:sz w:val="32"/>
          <w:szCs w:val="32"/>
        </w:rPr>
        <w:t>元，同比增长12.9%，按要求完成考核任务。</w:t>
      </w:r>
    </w:p>
    <w:p w14:paraId="68DD020A">
      <w:pPr>
        <w:pStyle w:val="2"/>
        <w:spacing w:line="560" w:lineRule="exact"/>
        <w:ind w:firstLine="643"/>
        <w:rPr>
          <w:rFonts w:eastAsia="仿宋"/>
          <w:sz w:val="32"/>
          <w:szCs w:val="32"/>
        </w:rPr>
      </w:pPr>
      <w:r>
        <w:rPr>
          <w:rFonts w:eastAsia="仿宋"/>
          <w:b/>
          <w:sz w:val="32"/>
          <w:szCs w:val="32"/>
        </w:rPr>
        <w:t>2.</w:t>
      </w:r>
      <w:r>
        <w:rPr>
          <w:rFonts w:hint="eastAsia" w:eastAsia="仿宋"/>
          <w:b/>
          <w:sz w:val="32"/>
          <w:szCs w:val="32"/>
        </w:rPr>
        <w:t>粮食安全省长责任考核（粮食生产相关内容）。</w:t>
      </w:r>
      <w:r>
        <w:rPr>
          <w:rFonts w:hint="eastAsia" w:eastAsia="仿宋"/>
          <w:sz w:val="32"/>
          <w:szCs w:val="32"/>
        </w:rPr>
        <w:t>省级下达任务为：全市粮食播种面积不低于169.80万亩，粮食产量不低于61.51万吨，大豆播种面积不低于1.97万亩，水稻耕种收综合机械化率≥84.51%。我市2022年完成粮食播种面积170.78万亩，粮食产量61.95万吨，大豆播种面积1.98万亩，水稻耕种收综合机械化率全市84.64%，超额完成省下达的粮食生产任务。</w:t>
      </w:r>
    </w:p>
    <w:p w14:paraId="01A41D11">
      <w:pPr>
        <w:pStyle w:val="2"/>
        <w:spacing w:line="560" w:lineRule="exact"/>
        <w:ind w:firstLine="643"/>
        <w:rPr>
          <w:rFonts w:eastAsia="仿宋"/>
        </w:rPr>
      </w:pPr>
      <w:r>
        <w:rPr>
          <w:rFonts w:eastAsia="仿宋"/>
          <w:b/>
          <w:sz w:val="32"/>
          <w:szCs w:val="32"/>
        </w:rPr>
        <w:t>3.</w:t>
      </w:r>
      <w:r>
        <w:rPr>
          <w:rFonts w:hint="eastAsia" w:eastAsia="仿宋"/>
          <w:b/>
          <w:sz w:val="32"/>
          <w:szCs w:val="32"/>
        </w:rPr>
        <w:t>动物防疫。</w:t>
      </w:r>
      <w:r>
        <w:rPr>
          <w:rFonts w:hint="eastAsia" w:eastAsia="仿宋"/>
          <w:sz w:val="32"/>
          <w:szCs w:val="32"/>
        </w:rPr>
        <w:t>省级下达任务为：强制免疫病种应免畜禽的免疫密度90%以上，平均免疫抗体合格率达到70%；100%发放上年度强制扑杀补助经费，依法对重大动物疫情处置率100%，不发生大规模随意抛弃病死猪事件。2022年我市组织禽流感疫苗2</w:t>
      </w:r>
      <w:r>
        <w:rPr>
          <w:rFonts w:eastAsia="仿宋"/>
          <w:sz w:val="32"/>
          <w:szCs w:val="30"/>
        </w:rPr>
        <w:t>,</w:t>
      </w:r>
      <w:r>
        <w:rPr>
          <w:rFonts w:eastAsia="仿宋"/>
          <w:sz w:val="32"/>
          <w:szCs w:val="32"/>
        </w:rPr>
        <w:t>560</w:t>
      </w:r>
      <w:r>
        <w:rPr>
          <w:rFonts w:hint="eastAsia" w:eastAsia="仿宋"/>
          <w:sz w:val="32"/>
          <w:szCs w:val="32"/>
        </w:rPr>
        <w:t>万毫升、小反刍兽疫疫苗5万头份、口蹄疫疫苗91万头份，强制免疫病种应免畜禽的免疫密度、平均免疫抗体合格率、上年度强制扑杀补助经费发放率、对重大动物疫情依法处置率均达标，没有发生大规模随意抛弃病死猪事件。</w:t>
      </w:r>
    </w:p>
    <w:p w14:paraId="0FFBCA14">
      <w:pPr>
        <w:spacing w:line="560" w:lineRule="exact"/>
        <w:ind w:firstLine="643" w:firstLineChars="200"/>
        <w:rPr>
          <w:rFonts w:eastAsia="仿宋"/>
          <w:sz w:val="32"/>
          <w:szCs w:val="32"/>
        </w:rPr>
      </w:pPr>
      <w:r>
        <w:rPr>
          <w:rFonts w:eastAsia="仿宋"/>
          <w:b/>
          <w:sz w:val="32"/>
          <w:szCs w:val="32"/>
        </w:rPr>
        <w:t>4.</w:t>
      </w:r>
      <w:r>
        <w:rPr>
          <w:rFonts w:hint="eastAsia" w:eastAsia="仿宋"/>
          <w:b/>
          <w:sz w:val="32"/>
          <w:szCs w:val="32"/>
        </w:rPr>
        <w:t>农产品质量安全。</w:t>
      </w:r>
      <w:r>
        <w:rPr>
          <w:rFonts w:hint="eastAsia" w:eastAsia="仿宋"/>
          <w:sz w:val="32"/>
          <w:szCs w:val="32"/>
        </w:rPr>
        <w:t>省级下达任务为：开展农产品质量安全监测10000批次，开展食用林产品质量安全监测200批次以上，对屠宰环节病死生猪100%进行无害化处理，不发生重大农产品质量安全事故。2022年全市开展农产品质量安全定量检测抽检11</w:t>
      </w:r>
      <w:r>
        <w:rPr>
          <w:rFonts w:eastAsia="仿宋"/>
          <w:sz w:val="32"/>
          <w:szCs w:val="30"/>
        </w:rPr>
        <w:t>,</w:t>
      </w:r>
      <w:r>
        <w:rPr>
          <w:rFonts w:eastAsia="仿宋"/>
          <w:sz w:val="32"/>
          <w:szCs w:val="32"/>
        </w:rPr>
        <w:t>374</w:t>
      </w:r>
      <w:r>
        <w:rPr>
          <w:rFonts w:hint="eastAsia" w:eastAsia="仿宋"/>
          <w:sz w:val="32"/>
          <w:szCs w:val="32"/>
        </w:rPr>
        <w:t>批次，其中风险监测10</w:t>
      </w:r>
      <w:r>
        <w:rPr>
          <w:rFonts w:eastAsia="仿宋"/>
          <w:sz w:val="32"/>
          <w:szCs w:val="30"/>
        </w:rPr>
        <w:t>,</w:t>
      </w:r>
      <w:r>
        <w:rPr>
          <w:rFonts w:eastAsia="仿宋"/>
          <w:sz w:val="32"/>
          <w:szCs w:val="32"/>
        </w:rPr>
        <w:t>016</w:t>
      </w:r>
      <w:r>
        <w:rPr>
          <w:rFonts w:hint="eastAsia" w:eastAsia="仿宋"/>
          <w:sz w:val="32"/>
          <w:szCs w:val="32"/>
        </w:rPr>
        <w:t>批次，监督抽查1</w:t>
      </w:r>
      <w:r>
        <w:rPr>
          <w:rFonts w:eastAsia="仿宋"/>
          <w:sz w:val="32"/>
          <w:szCs w:val="30"/>
        </w:rPr>
        <w:t>,</w:t>
      </w:r>
      <w:r>
        <w:rPr>
          <w:rFonts w:eastAsia="仿宋"/>
          <w:sz w:val="32"/>
          <w:szCs w:val="32"/>
        </w:rPr>
        <w:t>358</w:t>
      </w:r>
      <w:r>
        <w:rPr>
          <w:rFonts w:hint="eastAsia" w:eastAsia="仿宋"/>
          <w:sz w:val="32"/>
          <w:szCs w:val="32"/>
        </w:rPr>
        <w:t>批次，开展食用林产品质量安全监测超过200批次；屠宰检疫检出病害畜禽2.5392万头（只），病害生猪产品21</w:t>
      </w:r>
      <w:r>
        <w:rPr>
          <w:rFonts w:eastAsia="仿宋"/>
          <w:sz w:val="32"/>
          <w:szCs w:val="30"/>
        </w:rPr>
        <w:t>,</w:t>
      </w:r>
      <w:r>
        <w:rPr>
          <w:rFonts w:eastAsia="仿宋"/>
          <w:sz w:val="32"/>
          <w:szCs w:val="32"/>
        </w:rPr>
        <w:t>478</w:t>
      </w:r>
      <w:r>
        <w:rPr>
          <w:rFonts w:hint="eastAsia" w:eastAsia="仿宋"/>
          <w:sz w:val="32"/>
          <w:szCs w:val="32"/>
        </w:rPr>
        <w:t>公斤，对屠宰环节病死生猪100%进行无害化处理，没有发生重大农产品质量安全事故。</w:t>
      </w:r>
    </w:p>
    <w:p w14:paraId="49841DE2">
      <w:pPr>
        <w:spacing w:line="560" w:lineRule="exact"/>
        <w:ind w:firstLine="643" w:firstLineChars="200"/>
        <w:rPr>
          <w:rFonts w:eastAsia="仿宋"/>
          <w:sz w:val="32"/>
          <w:szCs w:val="32"/>
        </w:rPr>
      </w:pPr>
      <w:r>
        <w:rPr>
          <w:rFonts w:eastAsia="仿宋"/>
          <w:b/>
          <w:sz w:val="32"/>
          <w:szCs w:val="32"/>
        </w:rPr>
        <w:t>5.</w:t>
      </w:r>
      <w:r>
        <w:rPr>
          <w:rFonts w:hint="eastAsia" w:eastAsia="仿宋"/>
          <w:b/>
          <w:sz w:val="32"/>
          <w:szCs w:val="32"/>
        </w:rPr>
        <w:t>农村人居环境整治。</w:t>
      </w:r>
      <w:r>
        <w:rPr>
          <w:rFonts w:hint="eastAsia" w:eastAsia="仿宋"/>
          <w:sz w:val="32"/>
          <w:szCs w:val="32"/>
        </w:rPr>
        <w:t>省级下达任务为：巩固农村人居环境整治成果，</w:t>
      </w:r>
      <w:bookmarkStart w:id="0" w:name="_GoBack"/>
      <w:bookmarkEnd w:id="0"/>
      <w:r>
        <w:rPr>
          <w:rFonts w:hint="eastAsia" w:eastAsia="仿宋"/>
          <w:sz w:val="32"/>
          <w:szCs w:val="32"/>
        </w:rPr>
        <w:t>建立健全村庄清洁、农村生活污水治理、农村生活垃圾处置、农村厕所的长效运维管护机制；深入推进农村厕所粪污治理，实现粪污无害化处理或资源化利用的农村厕所占比原则上达到40%以上。2022年我市对291个行政村开展整村推进农村厕所革命改造提升，对农村户厕化粪池进行改造提升约1.74万个、厕所尾水接污水管网1731个、按需新建设农村公厕25座，年度任务完成率100%，农村无害化卫生户厕普及率达99%，各县（区）均建立了农村厕所长效管护机制；行政村农村垃圾收运体系覆盖率100%，实现农村垃圾日产日清，农村生活环境和品质进一步提升。</w:t>
      </w:r>
    </w:p>
    <w:p w14:paraId="6C7B4A6B">
      <w:pPr>
        <w:spacing w:line="560" w:lineRule="exact"/>
        <w:ind w:firstLine="643" w:firstLineChars="200"/>
        <w:rPr>
          <w:rFonts w:eastAsia="仿宋"/>
          <w:sz w:val="32"/>
          <w:szCs w:val="32"/>
        </w:rPr>
      </w:pPr>
      <w:r>
        <w:rPr>
          <w:rFonts w:eastAsia="仿宋"/>
          <w:b/>
          <w:sz w:val="32"/>
          <w:szCs w:val="32"/>
        </w:rPr>
        <w:t>6.</w:t>
      </w:r>
      <w:r>
        <w:rPr>
          <w:rFonts w:hint="eastAsia" w:eastAsia="仿宋"/>
          <w:b/>
          <w:sz w:val="32"/>
          <w:szCs w:val="32"/>
        </w:rPr>
        <w:t>高标准农田建设。</w:t>
      </w:r>
      <w:r>
        <w:rPr>
          <w:rFonts w:hint="eastAsia" w:eastAsia="仿宋"/>
          <w:sz w:val="32"/>
          <w:szCs w:val="32"/>
        </w:rPr>
        <w:t>省级下达任务为：当年度建成高标准农田面积4.2万亩。</w:t>
      </w:r>
      <w:r>
        <w:rPr>
          <w:rFonts w:hint="eastAsia" w:eastAsia="仿宋"/>
          <w:sz w:val="32"/>
          <w:szCs w:val="32"/>
          <w:lang w:eastAsia="zh-CN"/>
        </w:rPr>
        <w:t>截至</w:t>
      </w:r>
      <w:r>
        <w:rPr>
          <w:rFonts w:hint="eastAsia" w:eastAsia="仿宋"/>
          <w:sz w:val="32"/>
          <w:szCs w:val="32"/>
        </w:rPr>
        <w:t>2022年底，我市4.2万亩高标准农田建设项目工程量完成率96%，实现基本完工，完成省要求的建设任务。</w:t>
      </w:r>
    </w:p>
    <w:p w14:paraId="50E2CED3">
      <w:pPr>
        <w:spacing w:line="560" w:lineRule="exact"/>
        <w:ind w:firstLine="643" w:firstLineChars="200"/>
        <w:rPr>
          <w:rFonts w:eastAsia="仿宋"/>
          <w:sz w:val="32"/>
          <w:szCs w:val="32"/>
        </w:rPr>
      </w:pPr>
      <w:r>
        <w:rPr>
          <w:rFonts w:eastAsia="仿宋"/>
          <w:b/>
          <w:sz w:val="32"/>
          <w:szCs w:val="32"/>
        </w:rPr>
        <w:t>7.</w:t>
      </w:r>
      <w:r>
        <w:rPr>
          <w:rFonts w:hint="eastAsia" w:eastAsia="仿宋"/>
          <w:b/>
          <w:sz w:val="32"/>
          <w:szCs w:val="32"/>
        </w:rPr>
        <w:t>耕地污染源头防控与安全利用。</w:t>
      </w:r>
      <w:r>
        <w:rPr>
          <w:rFonts w:hint="eastAsia" w:eastAsia="仿宋"/>
          <w:sz w:val="32"/>
          <w:szCs w:val="32"/>
        </w:rPr>
        <w:t>省级下达任务为：以省共享给各地级市辖区内耕地土壤环境质量类别划分成果数据中安全利用类和严格管控类耕地总面积为重点任务，全面开展受污染耕地安全利用和风险管控，要求措施到位率100%，安全利用率不低于国家下达的任务目标。2022年全市二类耕地安全利用措施和三类耕地严格管控措施到位率均达到100%，二类耕地监测农产品综合达标率91.44%，三类耕地全面实现风险管控，受污染耕地安全利用率达99.04%，高质量完成省下达“污染耕地安全利用率达90%以上”的目标。</w:t>
      </w:r>
    </w:p>
    <w:p w14:paraId="28255A7B">
      <w:pPr>
        <w:spacing w:line="560" w:lineRule="exact"/>
        <w:ind w:firstLine="640"/>
        <w:rPr>
          <w:rFonts w:eastAsia="仿宋"/>
          <w:sz w:val="32"/>
          <w:szCs w:val="32"/>
        </w:rPr>
      </w:pPr>
      <w:r>
        <w:rPr>
          <w:rFonts w:eastAsia="仿宋"/>
          <w:b/>
          <w:sz w:val="32"/>
          <w:szCs w:val="32"/>
        </w:rPr>
        <w:t>8.</w:t>
      </w:r>
      <w:r>
        <w:rPr>
          <w:rFonts w:hint="eastAsia" w:eastAsia="仿宋"/>
          <w:b/>
          <w:sz w:val="32"/>
          <w:szCs w:val="32"/>
        </w:rPr>
        <w:t>全面推进河长制湖长制。</w:t>
      </w:r>
      <w:r>
        <w:rPr>
          <w:rFonts w:hint="eastAsia" w:eastAsia="仿宋"/>
          <w:sz w:val="32"/>
          <w:szCs w:val="32"/>
        </w:rPr>
        <w:t>省级下达任务为：完成1</w:t>
      </w:r>
      <w:r>
        <w:rPr>
          <w:rFonts w:eastAsia="仿宋"/>
          <w:sz w:val="32"/>
          <w:szCs w:val="30"/>
        </w:rPr>
        <w:t>,</w:t>
      </w:r>
      <w:r>
        <w:rPr>
          <w:rFonts w:eastAsia="仿宋"/>
          <w:sz w:val="32"/>
          <w:szCs w:val="32"/>
        </w:rPr>
        <w:t>900</w:t>
      </w:r>
      <w:r>
        <w:rPr>
          <w:rFonts w:hint="eastAsia" w:eastAsia="仿宋"/>
          <w:sz w:val="32"/>
          <w:szCs w:val="32"/>
        </w:rPr>
        <w:t>公里河道管护任务。2022年实际完成1</w:t>
      </w:r>
      <w:r>
        <w:rPr>
          <w:rFonts w:eastAsia="仿宋"/>
          <w:sz w:val="32"/>
          <w:szCs w:val="30"/>
        </w:rPr>
        <w:t>,</w:t>
      </w:r>
      <w:r>
        <w:rPr>
          <w:rFonts w:eastAsia="仿宋"/>
          <w:sz w:val="32"/>
          <w:szCs w:val="32"/>
        </w:rPr>
        <w:t>900</w:t>
      </w:r>
      <w:r>
        <w:rPr>
          <w:rFonts w:hint="eastAsia" w:eastAsia="仿宋"/>
          <w:sz w:val="32"/>
          <w:szCs w:val="32"/>
        </w:rPr>
        <w:t>公里河道管护任务及完成1宗水利空间基础设施规划编制成果及17条河流管理范围划定、279条河流地形测量基础资料。本项省下达考核任务目标已完成。</w:t>
      </w:r>
    </w:p>
    <w:p w14:paraId="3C0CF4C1">
      <w:pPr>
        <w:spacing w:line="560" w:lineRule="exact"/>
        <w:ind w:firstLine="640"/>
        <w:rPr>
          <w:rFonts w:ascii="仿宋" w:eastAsia="仿宋"/>
          <w:sz w:val="32"/>
          <w:szCs w:val="32"/>
        </w:rPr>
      </w:pPr>
      <w:r>
        <w:rPr>
          <w:rFonts w:eastAsia="仿宋"/>
          <w:b/>
          <w:sz w:val="32"/>
          <w:szCs w:val="32"/>
        </w:rPr>
        <w:t>9.</w:t>
      </w:r>
      <w:r>
        <w:rPr>
          <w:rFonts w:hint="eastAsia" w:eastAsia="仿宋"/>
          <w:b/>
          <w:sz w:val="32"/>
          <w:szCs w:val="32"/>
        </w:rPr>
        <w:t>最严格水资源管理制度考核（含农业水价综合改革）。</w:t>
      </w:r>
      <w:r>
        <w:rPr>
          <w:rFonts w:hint="eastAsia" w:eastAsia="仿宋"/>
          <w:sz w:val="32"/>
          <w:szCs w:val="32"/>
        </w:rPr>
        <w:t>省级下达任务为：完成省下达的用水总量（21.94亿立方米）和用水效率年度控制目标及相关工作任务，实施农业水价综合改革16.90万亩，开工建设纳入《全国中型灌区续建配套与节水改造实施方案（2021—2022年）》的项目2宗，完成节水配套改造面积4.09万亩。</w:t>
      </w:r>
      <w:r>
        <w:rPr>
          <w:rFonts w:hint="eastAsia" w:ascii="仿宋" w:eastAsia="仿宋"/>
          <w:sz w:val="32"/>
          <w:szCs w:val="32"/>
        </w:rPr>
        <w:t>2022年本年度全市用水总量21.74亿立方米、万元GDP用水量较2020年降幅19%、万元工业增加值用水量较2020年降幅26%、农田灌溉水有效利用系数为0.525；实施农业水价综合改革面积16.9万亩；2宗中型灌区续建配套与节水改造工程完成节水改造面积4.09万亩。本项省下达考核任务目标已完成，用水总量指标及用水效率指标均在省下达控制指标以内。</w:t>
      </w:r>
    </w:p>
    <w:p w14:paraId="5816624F">
      <w:pPr>
        <w:spacing w:line="560" w:lineRule="exact"/>
        <w:ind w:firstLine="640"/>
        <w:rPr>
          <w:rFonts w:ascii="仿宋" w:eastAsia="仿宋"/>
          <w:sz w:val="32"/>
          <w:szCs w:val="32"/>
        </w:rPr>
      </w:pPr>
      <w:r>
        <w:rPr>
          <w:rFonts w:eastAsia="仿宋"/>
          <w:b/>
          <w:sz w:val="32"/>
          <w:szCs w:val="32"/>
        </w:rPr>
        <w:t>10.</w:t>
      </w:r>
      <w:r>
        <w:rPr>
          <w:rFonts w:hint="eastAsia" w:eastAsia="仿宋"/>
          <w:b/>
          <w:sz w:val="32"/>
          <w:szCs w:val="32"/>
        </w:rPr>
        <w:t>水土保持治理。</w:t>
      </w:r>
      <w:r>
        <w:rPr>
          <w:rFonts w:hint="eastAsia" w:ascii="仿宋" w:eastAsia="仿宋"/>
          <w:sz w:val="32"/>
          <w:szCs w:val="32"/>
        </w:rPr>
        <w:t>省级下达任务为：完成治理水土流失治理面积60平方公里。2022年全市实际完成水土流失治理面积60平方公里，本项省下达考核任务目标按计划完成。</w:t>
      </w:r>
    </w:p>
    <w:p w14:paraId="6DC65480">
      <w:pPr>
        <w:spacing w:line="560" w:lineRule="exact"/>
        <w:ind w:firstLine="640"/>
        <w:rPr>
          <w:rFonts w:ascii="仿宋" w:eastAsia="仿宋"/>
          <w:sz w:val="32"/>
          <w:szCs w:val="32"/>
        </w:rPr>
      </w:pPr>
      <w:r>
        <w:rPr>
          <w:rFonts w:eastAsia="仿宋"/>
          <w:b/>
          <w:sz w:val="32"/>
          <w:szCs w:val="32"/>
        </w:rPr>
        <w:t>11.</w:t>
      </w:r>
      <w:r>
        <w:rPr>
          <w:rFonts w:hint="eastAsia" w:eastAsia="仿宋"/>
          <w:b/>
          <w:sz w:val="32"/>
          <w:szCs w:val="32"/>
        </w:rPr>
        <w:t>水库除险加固和运行管护。</w:t>
      </w:r>
      <w:r>
        <w:rPr>
          <w:rFonts w:hint="eastAsia" w:ascii="仿宋" w:eastAsia="仿宋"/>
          <w:sz w:val="32"/>
          <w:szCs w:val="32"/>
        </w:rPr>
        <w:t>省级下达任务为：开工建设纳入全国《防汛抗旱水利提升工程实施方案》的大中型病险水库2宗，完成中央下达的投资计划；除险加固小型水库26座。2022年实际完成大型水库除险加固1宗，开工建设中型水库除险加固项目1宗（实施进度30%），完成中央投资计划1</w:t>
      </w:r>
      <w:r>
        <w:rPr>
          <w:rFonts w:eastAsia="仿宋"/>
          <w:sz w:val="32"/>
          <w:szCs w:val="30"/>
        </w:rPr>
        <w:t>,</w:t>
      </w:r>
      <w:r>
        <w:rPr>
          <w:rFonts w:hint="eastAsia" w:ascii="仿宋" w:eastAsia="仿宋"/>
          <w:sz w:val="32"/>
          <w:szCs w:val="32"/>
        </w:rPr>
        <w:t>874万元；完成小型水库除险加固项目26宗。本项省下达考核任务目标按计划完成。</w:t>
      </w:r>
    </w:p>
    <w:p w14:paraId="6CA4B09A">
      <w:pPr>
        <w:pStyle w:val="2"/>
        <w:spacing w:line="560" w:lineRule="exact"/>
        <w:ind w:firstLine="643"/>
        <w:rPr>
          <w:rFonts w:ascii="仿宋" w:eastAsia="仿宋"/>
          <w:sz w:val="32"/>
          <w:szCs w:val="32"/>
        </w:rPr>
      </w:pPr>
      <w:r>
        <w:rPr>
          <w:rFonts w:eastAsia="仿宋"/>
          <w:b/>
          <w:sz w:val="32"/>
          <w:szCs w:val="32"/>
        </w:rPr>
        <w:t>12.</w:t>
      </w:r>
      <w:r>
        <w:rPr>
          <w:rFonts w:hint="eastAsia" w:eastAsia="仿宋"/>
          <w:b/>
          <w:sz w:val="32"/>
          <w:szCs w:val="32"/>
        </w:rPr>
        <w:t>中央预算内投资计划执行。</w:t>
      </w:r>
      <w:r>
        <w:rPr>
          <w:rFonts w:hint="eastAsia" w:ascii="仿宋" w:eastAsia="仿宋"/>
          <w:sz w:val="32"/>
          <w:szCs w:val="32"/>
        </w:rPr>
        <w:t>省级下达任务为：完成年度中央投资计划任务。2022年我市实际完成1宗大型水库除险加固项目及2宗堤防建设项目中央预算内投资计划2</w:t>
      </w:r>
      <w:r>
        <w:rPr>
          <w:rFonts w:eastAsia="仿宋"/>
          <w:sz w:val="32"/>
          <w:szCs w:val="30"/>
        </w:rPr>
        <w:t>,</w:t>
      </w:r>
      <w:r>
        <w:rPr>
          <w:rFonts w:hint="eastAsia" w:ascii="仿宋" w:eastAsia="仿宋"/>
          <w:sz w:val="32"/>
          <w:szCs w:val="32"/>
        </w:rPr>
        <w:t>074万元，省下达考核任务目标按计划完成。</w:t>
      </w:r>
    </w:p>
    <w:p w14:paraId="0517F8C3">
      <w:pPr>
        <w:pStyle w:val="2"/>
        <w:spacing w:line="560" w:lineRule="exact"/>
        <w:ind w:firstLine="643"/>
        <w:rPr>
          <w:rFonts w:ascii="仿宋" w:eastAsia="仿宋"/>
          <w:sz w:val="32"/>
          <w:szCs w:val="32"/>
        </w:rPr>
      </w:pPr>
      <w:r>
        <w:rPr>
          <w:rFonts w:eastAsia="仿宋"/>
          <w:b/>
          <w:sz w:val="32"/>
          <w:szCs w:val="32"/>
        </w:rPr>
        <w:t>13.</w:t>
      </w:r>
      <w:r>
        <w:rPr>
          <w:rFonts w:hint="eastAsia" w:eastAsia="仿宋"/>
          <w:b/>
          <w:sz w:val="32"/>
          <w:szCs w:val="32"/>
        </w:rPr>
        <w:t>全面推行林长制。</w:t>
      </w:r>
      <w:r>
        <w:rPr>
          <w:rFonts w:hint="eastAsia" w:ascii="仿宋" w:eastAsia="仿宋"/>
          <w:sz w:val="32"/>
          <w:szCs w:val="32"/>
        </w:rPr>
        <w:t>省级下达任务为：完成造林3.87万亩，其中：人工造林0.37万亩、退化林修复3.2万亩、封山育林0.3万亩，新造林抚育3.52万亩，红树林造林356.4亩。2022年全市完成造林3.87万亩，新造林抚育3.52万亩，红树林造林356.4亩，省下达考核任务目标按计划完成。</w:t>
      </w:r>
    </w:p>
    <w:p w14:paraId="03AF0B37">
      <w:pPr>
        <w:pStyle w:val="8"/>
        <w:spacing w:line="560" w:lineRule="exact"/>
        <w:ind w:firstLine="643" w:firstLineChars="200"/>
        <w:rPr>
          <w:rFonts w:ascii="仿宋" w:eastAsia="仿宋"/>
          <w:szCs w:val="32"/>
        </w:rPr>
      </w:pPr>
      <w:r>
        <w:rPr>
          <w:rFonts w:eastAsia="仿宋"/>
          <w:b/>
          <w:szCs w:val="32"/>
        </w:rPr>
        <w:t>14.</w:t>
      </w:r>
      <w:r>
        <w:rPr>
          <w:rFonts w:hint="eastAsia" w:eastAsia="仿宋"/>
          <w:b/>
          <w:szCs w:val="32"/>
        </w:rPr>
        <w:t>自然保护地整合优化。</w:t>
      </w:r>
      <w:r>
        <w:rPr>
          <w:rFonts w:hint="eastAsia" w:ascii="仿宋" w:eastAsia="仿宋"/>
          <w:szCs w:val="32"/>
        </w:rPr>
        <w:t>省级下达任务为：自然保护地范围边界矢量化数据制作任务工作量完成率达50%，自然保护区科学考察任务工作量完成率达50%，自然保护区管控分区划度任务工作量完成率达50%，我市实际完成率均达到50%，完成省下达考核任务。</w:t>
      </w:r>
    </w:p>
    <w:p w14:paraId="6D4DDD32">
      <w:pPr>
        <w:pStyle w:val="8"/>
        <w:spacing w:line="560" w:lineRule="exact"/>
        <w:ind w:firstLine="640"/>
        <w:rPr>
          <w:rFonts w:ascii="仿宋" w:eastAsia="仿宋"/>
          <w:b/>
          <w:szCs w:val="32"/>
        </w:rPr>
      </w:pPr>
      <w:r>
        <w:rPr>
          <w:rFonts w:eastAsia="仿宋"/>
          <w:b/>
          <w:szCs w:val="32"/>
        </w:rPr>
        <w:t>15.</w:t>
      </w:r>
      <w:r>
        <w:rPr>
          <w:rFonts w:hint="eastAsia" w:eastAsia="仿宋"/>
          <w:b/>
          <w:szCs w:val="32"/>
        </w:rPr>
        <w:t>林业有害生物防控。</w:t>
      </w:r>
      <w:r>
        <w:rPr>
          <w:rFonts w:hint="eastAsia" w:ascii="仿宋" w:eastAsia="仿宋"/>
          <w:szCs w:val="32"/>
        </w:rPr>
        <w:t>省级下达任务为：主要林业有害生物成灾率控制在8.2‰以下，无公害防治率达到85%以上，监测覆盖率达到100%，防治目标任务完成率达到100%；松材线虫病防治任务≥34.91万亩。2022年我市完成林业有害生物防治面积41.6万亩，其中松材线虫防治面积超过34.91万亩，林业有害生物成灾率、无公害防治率、监测覆盖率均达到省考核要求。</w:t>
      </w:r>
    </w:p>
    <w:p w14:paraId="5F2BCB69">
      <w:pPr>
        <w:pStyle w:val="8"/>
        <w:spacing w:line="560" w:lineRule="exact"/>
        <w:ind w:firstLine="640"/>
        <w:rPr>
          <w:rFonts w:ascii="仿宋" w:eastAsia="仿宋"/>
          <w:szCs w:val="32"/>
        </w:rPr>
      </w:pPr>
      <w:r>
        <w:rPr>
          <w:rFonts w:eastAsia="仿宋"/>
          <w:b/>
          <w:szCs w:val="32"/>
        </w:rPr>
        <w:t>16.</w:t>
      </w:r>
      <w:r>
        <w:rPr>
          <w:rFonts w:hint="eastAsia" w:eastAsia="仿宋"/>
          <w:b/>
          <w:szCs w:val="32"/>
        </w:rPr>
        <w:t>永久基本农田保护。</w:t>
      </w:r>
      <w:r>
        <w:rPr>
          <w:rFonts w:hint="eastAsia" w:ascii="仿宋" w:eastAsia="仿宋"/>
          <w:szCs w:val="32"/>
        </w:rPr>
        <w:t>年初设定目标为永久基本农田保护面积116.3万亩，国土空间规划“三区三线”划定下达我市的永久基本农田划定控制数119.5万亩，我市2022年稳定利用耕地数为135.82万亩，大于省下达的划定控制数任务。</w:t>
      </w:r>
    </w:p>
    <w:p w14:paraId="2E276BEA">
      <w:pPr>
        <w:spacing w:line="560" w:lineRule="exact"/>
        <w:ind w:firstLine="640"/>
        <w:rPr>
          <w:rFonts w:ascii="仿宋" w:eastAsia="仿宋"/>
          <w:b/>
          <w:sz w:val="32"/>
          <w:szCs w:val="32"/>
        </w:rPr>
      </w:pPr>
      <w:r>
        <w:rPr>
          <w:rFonts w:eastAsia="仿宋"/>
          <w:b/>
          <w:sz w:val="32"/>
          <w:szCs w:val="32"/>
        </w:rPr>
        <w:t>17.</w:t>
      </w:r>
      <w:r>
        <w:rPr>
          <w:rFonts w:hint="eastAsia" w:eastAsia="仿宋"/>
          <w:b/>
          <w:sz w:val="32"/>
          <w:szCs w:val="32"/>
        </w:rPr>
        <w:t>农村公路养护。</w:t>
      </w:r>
      <w:r>
        <w:rPr>
          <w:rFonts w:hint="eastAsia" w:ascii="仿宋" w:eastAsia="仿宋"/>
          <w:sz w:val="32"/>
          <w:szCs w:val="32"/>
        </w:rPr>
        <w:t>省下达任务为四好农村路列养率100%。2022年我市管养农村公路养护里程为11</w:t>
      </w:r>
      <w:r>
        <w:rPr>
          <w:rFonts w:eastAsia="仿宋"/>
          <w:sz w:val="32"/>
          <w:szCs w:val="30"/>
        </w:rPr>
        <w:t>,</w:t>
      </w:r>
      <w:r>
        <w:rPr>
          <w:rFonts w:hint="eastAsia" w:ascii="仿宋" w:eastAsia="仿宋"/>
          <w:sz w:val="32"/>
          <w:szCs w:val="32"/>
        </w:rPr>
        <w:t>215.692公里，其中县道588.688公里、乡道5</w:t>
      </w:r>
      <w:r>
        <w:rPr>
          <w:rFonts w:eastAsia="仿宋"/>
          <w:sz w:val="32"/>
          <w:szCs w:val="30"/>
        </w:rPr>
        <w:t>,</w:t>
      </w:r>
      <w:r>
        <w:rPr>
          <w:rFonts w:hint="eastAsia" w:ascii="仿宋" w:eastAsia="仿宋"/>
          <w:sz w:val="32"/>
          <w:szCs w:val="32"/>
        </w:rPr>
        <w:t>809.056公里、村道4</w:t>
      </w:r>
      <w:r>
        <w:rPr>
          <w:rFonts w:eastAsia="仿宋"/>
          <w:sz w:val="32"/>
          <w:szCs w:val="30"/>
        </w:rPr>
        <w:t>,</w:t>
      </w:r>
      <w:r>
        <w:rPr>
          <w:rFonts w:hint="eastAsia" w:ascii="仿宋" w:eastAsia="仿宋"/>
          <w:sz w:val="32"/>
          <w:szCs w:val="32"/>
        </w:rPr>
        <w:t>817.948公里，列养率为100%。通过对我市各县（区）2022年度农村公路建、管、养等工作的综合评价，总体良好，完成了上级下达的目标任务。</w:t>
      </w:r>
    </w:p>
    <w:p w14:paraId="3963B1A5">
      <w:pPr>
        <w:pStyle w:val="8"/>
        <w:spacing w:line="560" w:lineRule="exact"/>
        <w:ind w:firstLine="640"/>
        <w:rPr>
          <w:rFonts w:ascii="仿宋" w:eastAsia="仿宋"/>
          <w:szCs w:val="32"/>
        </w:rPr>
      </w:pPr>
      <w:r>
        <w:rPr>
          <w:rFonts w:eastAsia="仿宋"/>
          <w:b/>
          <w:szCs w:val="32"/>
        </w:rPr>
        <w:t>18.</w:t>
      </w:r>
      <w:r>
        <w:rPr>
          <w:rFonts w:hint="eastAsia" w:eastAsia="仿宋"/>
          <w:b/>
          <w:szCs w:val="32"/>
        </w:rPr>
        <w:t>自然灾害风险普查（森林、水利）。</w:t>
      </w:r>
      <w:r>
        <w:rPr>
          <w:rFonts w:hint="eastAsia" w:ascii="仿宋" w:eastAsia="仿宋"/>
          <w:szCs w:val="32"/>
        </w:rPr>
        <w:t>省级下达任务为：完成256个标准地、28个大样地的可燃物外业调查,完成所在区域森林火灾的野外火源、历史火灾、减灾能力等普查要素的调查任务；完成523宗水库、167宗堤防、485宗水闸、6个蓄滞洪区、191宗小水电、141宗山塘的隐患调查以及5个县区的干旱致灾调查。2022年我市实际完成256个标准地、28个大样地的可燃物外业调查；523宗水库、167宗堤防、485宗水闸、6个蓄滞洪区、191宗小水电、141宗山塘的隐患调查以及所在区域森林火灾的野外火源、历史火灾、减灾能力等普查要素的调查任务和5个县区的干旱致灾调查。</w:t>
      </w:r>
    </w:p>
    <w:p w14:paraId="40A2E547">
      <w:pPr>
        <w:spacing w:line="560" w:lineRule="exact"/>
        <w:ind w:firstLine="643" w:firstLineChars="200"/>
        <w:rPr>
          <w:rFonts w:eastAsia="仿宋"/>
          <w:sz w:val="32"/>
          <w:szCs w:val="32"/>
        </w:rPr>
      </w:pPr>
      <w:r>
        <w:rPr>
          <w:rFonts w:eastAsia="仿宋"/>
          <w:b/>
          <w:sz w:val="32"/>
          <w:szCs w:val="32"/>
        </w:rPr>
        <w:t>19.</w:t>
      </w:r>
      <w:r>
        <w:rPr>
          <w:rFonts w:hint="eastAsia" w:eastAsia="仿宋"/>
          <w:b/>
          <w:sz w:val="32"/>
          <w:szCs w:val="32"/>
        </w:rPr>
        <w:t>农村生活污水治理。</w:t>
      </w:r>
      <w:r>
        <w:rPr>
          <w:rFonts w:hint="eastAsia" w:ascii="仿宋" w:eastAsia="仿宋"/>
          <w:sz w:val="32"/>
          <w:szCs w:val="32"/>
        </w:rPr>
        <w:t>省下达的任务是：当年度新增完成农村生活污水治理的自然村50个。2022我市年顺利完</w:t>
      </w:r>
      <w:r>
        <w:rPr>
          <w:rFonts w:hint="eastAsia" w:eastAsia="仿宋"/>
          <w:sz w:val="32"/>
          <w:szCs w:val="32"/>
        </w:rPr>
        <w:t>成50个省民生实事自然村生活污水治理任务。</w:t>
      </w:r>
    </w:p>
    <w:p w14:paraId="4442A292">
      <w:pPr>
        <w:spacing w:line="560" w:lineRule="exact"/>
        <w:ind w:firstLine="643" w:firstLineChars="200"/>
        <w:rPr>
          <w:rFonts w:eastAsia="仿宋"/>
          <w:sz w:val="32"/>
          <w:szCs w:val="32"/>
        </w:rPr>
      </w:pPr>
      <w:r>
        <w:rPr>
          <w:rFonts w:eastAsia="仿宋"/>
          <w:b/>
          <w:sz w:val="32"/>
          <w:szCs w:val="32"/>
        </w:rPr>
        <w:t>20.</w:t>
      </w:r>
      <w:r>
        <w:rPr>
          <w:rFonts w:hint="eastAsia" w:eastAsia="仿宋"/>
          <w:b/>
          <w:sz w:val="32"/>
          <w:szCs w:val="32"/>
        </w:rPr>
        <w:t>村内道路建设。</w:t>
      </w:r>
      <w:r>
        <w:rPr>
          <w:rFonts w:hint="eastAsia" w:eastAsia="仿宋"/>
          <w:sz w:val="32"/>
          <w:szCs w:val="32"/>
        </w:rPr>
        <w:t>我市年初计划完成村内道路基本硬底化的自然村数量770个。2022年我市实际按计划完成村内道路基本硬底化自然村数量779个，完成省级民生实事村内干路硬底化106.833公里。</w:t>
      </w:r>
    </w:p>
    <w:p w14:paraId="4B638358">
      <w:pPr>
        <w:pStyle w:val="8"/>
        <w:spacing w:line="560" w:lineRule="exact"/>
        <w:ind w:firstLine="640"/>
        <w:rPr>
          <w:rFonts w:eastAsia="仿宋"/>
          <w:szCs w:val="32"/>
        </w:rPr>
      </w:pPr>
      <w:r>
        <w:rPr>
          <w:rFonts w:eastAsia="仿宋"/>
          <w:b/>
          <w:szCs w:val="32"/>
        </w:rPr>
        <w:t>21.</w:t>
      </w:r>
      <w:r>
        <w:rPr>
          <w:rFonts w:hint="eastAsia" w:eastAsia="仿宋"/>
          <w:b/>
          <w:szCs w:val="32"/>
        </w:rPr>
        <w:t>农村集中供水提档升级。</w:t>
      </w:r>
      <w:r>
        <w:rPr>
          <w:rFonts w:hint="eastAsia" w:eastAsia="仿宋"/>
          <w:szCs w:val="32"/>
        </w:rPr>
        <w:t>此项我市年初没有设定具体计划数。2022年实际新增农村规模化集中供水覆盖人口数量0.6万人。</w:t>
      </w:r>
    </w:p>
    <w:p w14:paraId="43B2ABAC">
      <w:pPr>
        <w:pStyle w:val="8"/>
        <w:spacing w:line="560" w:lineRule="exact"/>
        <w:ind w:firstLine="640"/>
        <w:rPr>
          <w:rFonts w:eastAsia="仿宋"/>
          <w:szCs w:val="32"/>
        </w:rPr>
      </w:pPr>
      <w:r>
        <w:rPr>
          <w:rFonts w:eastAsia="仿宋"/>
          <w:b/>
          <w:szCs w:val="32"/>
        </w:rPr>
        <w:t>22.</w:t>
      </w:r>
      <w:r>
        <w:rPr>
          <w:rFonts w:hint="eastAsia" w:eastAsia="仿宋"/>
          <w:b/>
          <w:szCs w:val="32"/>
        </w:rPr>
        <w:t>农村公路提档升级。</w:t>
      </w:r>
      <w:r>
        <w:rPr>
          <w:rFonts w:hint="eastAsia" w:eastAsia="仿宋"/>
          <w:szCs w:val="32"/>
        </w:rPr>
        <w:t>我市年初计划完成建设改造四级双车道长度86.713公里、三级及以上等级路12.405公里。2022年我市实际完成超额完成建设改造四级双车道长度112.433公里、三级及以上等级路18.706公里，超额完成目标。</w:t>
      </w:r>
    </w:p>
    <w:p w14:paraId="3870C41F">
      <w:pPr>
        <w:pStyle w:val="8"/>
        <w:spacing w:line="560" w:lineRule="exact"/>
        <w:ind w:firstLine="640"/>
        <w:rPr>
          <w:rFonts w:eastAsia="仿宋"/>
          <w:szCs w:val="32"/>
        </w:rPr>
      </w:pPr>
      <w:r>
        <w:rPr>
          <w:rFonts w:eastAsia="仿宋"/>
          <w:b/>
          <w:szCs w:val="32"/>
        </w:rPr>
        <w:t>23.</w:t>
      </w:r>
      <w:r>
        <w:rPr>
          <w:rFonts w:hint="eastAsia" w:eastAsia="仿宋"/>
          <w:b/>
          <w:szCs w:val="32"/>
        </w:rPr>
        <w:t>撂荒耕地复耕复种。</w:t>
      </w:r>
      <w:r>
        <w:rPr>
          <w:rFonts w:hint="eastAsia" w:eastAsia="仿宋"/>
          <w:szCs w:val="32"/>
        </w:rPr>
        <w:t>此项任务年初没有设定具体的计划数，年中省单列下达绩效目标任务数为3.87万亩。2022年全市实际完成连片15亩以上撂荒耕地（省核查图斑内）面积4.21万亩，超过省下达任务。</w:t>
      </w:r>
    </w:p>
    <w:p w14:paraId="59209C8C">
      <w:pPr>
        <w:pStyle w:val="8"/>
        <w:spacing w:line="560" w:lineRule="exact"/>
        <w:ind w:firstLine="640"/>
        <w:rPr>
          <w:rFonts w:eastAsia="仿宋"/>
          <w:szCs w:val="32"/>
        </w:rPr>
      </w:pPr>
      <w:r>
        <w:rPr>
          <w:rFonts w:eastAsia="仿宋"/>
          <w:b/>
          <w:szCs w:val="32"/>
        </w:rPr>
        <w:t>24.</w:t>
      </w:r>
      <w:r>
        <w:rPr>
          <w:rFonts w:hint="eastAsia" w:eastAsia="仿宋"/>
          <w:b/>
          <w:szCs w:val="32"/>
        </w:rPr>
        <w:t>小水电清理整改。</w:t>
      </w:r>
      <w:r>
        <w:rPr>
          <w:rFonts w:hint="eastAsia" w:eastAsia="仿宋"/>
          <w:szCs w:val="32"/>
        </w:rPr>
        <w:t>我市年初计划完成小水电清理整改9宗。2022年我市实际取得了9宗小水电站清理整改评估成果，按计划完成工作。</w:t>
      </w:r>
    </w:p>
    <w:p w14:paraId="5322850B">
      <w:pPr>
        <w:pStyle w:val="8"/>
        <w:spacing w:line="560" w:lineRule="exact"/>
        <w:ind w:firstLine="640"/>
        <w:rPr>
          <w:rFonts w:ascii="仿宋_GB2312"/>
          <w:szCs w:val="32"/>
        </w:rPr>
      </w:pPr>
      <w:r>
        <w:rPr>
          <w:rFonts w:eastAsia="仿宋"/>
          <w:b/>
          <w:szCs w:val="32"/>
        </w:rPr>
        <w:t>25.</w:t>
      </w:r>
      <w:r>
        <w:rPr>
          <w:rFonts w:hint="eastAsia" w:eastAsia="仿宋"/>
          <w:b/>
          <w:szCs w:val="32"/>
        </w:rPr>
        <w:t>中小河流治理。</w:t>
      </w:r>
      <w:r>
        <w:rPr>
          <w:rFonts w:hint="eastAsia" w:eastAsia="仿宋"/>
          <w:szCs w:val="32"/>
        </w:rPr>
        <w:t>我市年初计划完成中小河流治理公里数43.06公里，2022年全市实际完成中小河流治理公里数45.06公里，超计划完成任务。</w:t>
      </w:r>
    </w:p>
    <w:p w14:paraId="6E56DD32">
      <w:pPr>
        <w:pStyle w:val="8"/>
        <w:spacing w:line="560" w:lineRule="exact"/>
        <w:ind w:firstLine="640"/>
        <w:rPr>
          <w:rFonts w:ascii="黑体" w:eastAsia="黑体"/>
          <w:szCs w:val="32"/>
        </w:rPr>
      </w:pPr>
      <w:r>
        <w:rPr>
          <w:rFonts w:hint="eastAsia" w:ascii="黑体" w:eastAsia="黑体"/>
          <w:szCs w:val="32"/>
        </w:rPr>
        <w:t>四、偏离绩效目标的原因和下一步改进措施</w:t>
      </w:r>
    </w:p>
    <w:p w14:paraId="1570BE14">
      <w:pPr>
        <w:pStyle w:val="18"/>
        <w:spacing w:line="560" w:lineRule="exact"/>
        <w:ind w:firstLine="640" w:firstLineChars="200"/>
        <w:rPr>
          <w:rFonts w:ascii="仿宋_GB2312" w:eastAsia="仿宋_GB2312"/>
          <w:sz w:val="32"/>
          <w:szCs w:val="32"/>
        </w:rPr>
      </w:pPr>
      <w:r>
        <w:rPr>
          <w:rFonts w:hint="eastAsia" w:eastAsia="仿宋"/>
          <w:sz w:val="32"/>
          <w:szCs w:val="32"/>
        </w:rPr>
        <w:t>偏离绩效目标（对绩效目标和绩效指标未完成，或绩效完成量超过年初设定指标值30%的事项）的指标有：当年度完成建设改造四级双车道长度、当年度完成建设改造三级及以上等级路超额完成预定目标（目标值为86.713公里和12.405公里，实际完成值为112.433公里和18.706公里，分别超额30%和51%）。原因为：2022年年中，省交通厅下发《广东省高质量建设“四好农村路”服务支撑全面推进乡村振兴加快农业农村现代化的实施方案》，要求各市着力推进农村公路提档升级。我市在年初下达“底线目标”基础上，按照“奋斗目标”，积极动员、督促各县区加快农村公路建设，故年底超额完成年初既定目标的30%以上。</w:t>
      </w:r>
    </w:p>
    <w:p w14:paraId="2138C2EF">
      <w:pPr>
        <w:pStyle w:val="8"/>
        <w:spacing w:line="560" w:lineRule="exact"/>
        <w:ind w:firstLine="640" w:firstLineChars="200"/>
        <w:rPr>
          <w:rFonts w:ascii="黑体" w:eastAsia="黑体"/>
          <w:szCs w:val="32"/>
        </w:rPr>
      </w:pPr>
      <w:r>
        <w:rPr>
          <w:rFonts w:hint="eastAsia" w:ascii="黑体" w:eastAsia="黑体"/>
          <w:szCs w:val="32"/>
        </w:rPr>
        <w:t>五、绩效自评结果拟应用和公开情况</w:t>
      </w:r>
    </w:p>
    <w:p w14:paraId="199B111C">
      <w:pPr>
        <w:pStyle w:val="18"/>
        <w:spacing w:line="560" w:lineRule="exact"/>
        <w:ind w:firstLine="640" w:firstLineChars="200"/>
        <w:rPr>
          <w:rFonts w:ascii="黑体" w:eastAsia="黑体"/>
          <w:sz w:val="32"/>
          <w:szCs w:val="32"/>
        </w:rPr>
      </w:pPr>
      <w:r>
        <w:rPr>
          <w:rFonts w:hint="eastAsia" w:eastAsia="仿宋"/>
          <w:sz w:val="32"/>
          <w:szCs w:val="32"/>
        </w:rPr>
        <w:t>我市将强化绩效评价结果的应用，将绩效评价结果与下一步省级涉农统筹整合转移支付资金报备项目及分配、审批权限在市一级资金安排等挂钩，如获得上级涉农奖励资金，资金安排将向积极配合涉农资金统筹整合各项工作、资金使用整体效果较好、各项绩效指标完成好的涉农部门倾斜。绩效自评结果经市政府（涉农资金统筹整合领导小组）审定后将按规定予以公开，接受社会监督。</w:t>
      </w:r>
    </w:p>
    <w:p w14:paraId="6CEC212E">
      <w:pPr>
        <w:pStyle w:val="8"/>
        <w:spacing w:line="560" w:lineRule="exact"/>
        <w:ind w:firstLine="640" w:firstLineChars="200"/>
        <w:rPr>
          <w:rFonts w:ascii="黑体" w:eastAsia="黑体"/>
          <w:szCs w:val="32"/>
        </w:rPr>
      </w:pPr>
      <w:r>
        <w:rPr>
          <w:rFonts w:hint="eastAsia" w:ascii="黑体" w:eastAsia="黑体"/>
          <w:szCs w:val="32"/>
        </w:rPr>
        <w:t>六、其他需要说明的问题</w:t>
      </w:r>
    </w:p>
    <w:p w14:paraId="39C1E2E3">
      <w:pPr>
        <w:pStyle w:val="8"/>
        <w:spacing w:line="560" w:lineRule="exact"/>
        <w:ind w:firstLine="640"/>
        <w:rPr>
          <w:rFonts w:ascii="仿宋_GB2312"/>
          <w:szCs w:val="32"/>
        </w:rPr>
      </w:pPr>
      <w:r>
        <w:rPr>
          <w:rFonts w:hint="eastAsia" w:ascii="仿宋_GB2312"/>
          <w:szCs w:val="32"/>
        </w:rPr>
        <w:t>无</w:t>
      </w:r>
    </w:p>
    <w:p w14:paraId="5E29FDFF"/>
    <w:p w14:paraId="0C02102F"/>
    <w:sectPr>
      <w:pgSz w:w="12240" w:h="15840"/>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roid Sans">
    <w:panose1 w:val="020B0606030804020204"/>
    <w:charset w:val="00"/>
    <w:family w:val="auto"/>
    <w:pitch w:val="default"/>
    <w:sig w:usb0="E00002EF" w:usb1="4000205B" w:usb2="00000028"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755A4C"/>
    <w:multiLevelType w:val="multilevel"/>
    <w:tmpl w:val="F1755A4C"/>
    <w:lvl w:ilvl="0" w:tentative="0">
      <w:start w:val="2"/>
      <w:numFmt w:val="chineseCounting"/>
      <w:suff w:val="nothing"/>
      <w:lvlText w:val="%1、"/>
      <w:lvlJc w:val="left"/>
      <w:pPr>
        <w:tabs>
          <w:tab w:val="left" w:pos="0"/>
        </w:tabs>
        <w:ind w:left="0" w:firstLine="0"/>
      </w:pPr>
      <w:rPr>
        <w:rFonts w:hint="default"/>
        <w:u w:val="none"/>
      </w:rPr>
    </w:lvl>
    <w:lvl w:ilvl="1" w:tentative="0">
      <w:start w:val="1"/>
      <w:numFmt w:val="decimal"/>
      <w:lvlText w:val=""/>
      <w:lvlJc w:val="left"/>
      <w:pPr>
        <w:tabs>
          <w:tab w:val="left" w:pos="0"/>
        </w:tabs>
        <w:ind w:left="0" w:firstLine="0"/>
      </w:pPr>
      <w:rPr>
        <w:rFonts w:hint="default"/>
        <w:u w:val="none"/>
      </w:rPr>
    </w:lvl>
    <w:lvl w:ilvl="2" w:tentative="0">
      <w:start w:val="1"/>
      <w:numFmt w:val="decimal"/>
      <w:lvlText w:val=""/>
      <w:lvlJc w:val="left"/>
      <w:pPr>
        <w:tabs>
          <w:tab w:val="left" w:pos="0"/>
        </w:tabs>
        <w:ind w:left="0" w:firstLine="0"/>
      </w:pPr>
      <w:rPr>
        <w:rFonts w:hint="default"/>
        <w:u w:val="none"/>
      </w:rPr>
    </w:lvl>
    <w:lvl w:ilvl="3" w:tentative="0">
      <w:start w:val="1"/>
      <w:numFmt w:val="decimal"/>
      <w:lvlText w:val=""/>
      <w:lvlJc w:val="left"/>
      <w:pPr>
        <w:tabs>
          <w:tab w:val="left" w:pos="0"/>
        </w:tabs>
        <w:ind w:left="0" w:firstLine="0"/>
      </w:pPr>
      <w:rPr>
        <w:rFonts w:hint="default"/>
        <w:u w:val="none"/>
      </w:rPr>
    </w:lvl>
    <w:lvl w:ilvl="4" w:tentative="0">
      <w:start w:val="1"/>
      <w:numFmt w:val="decimal"/>
      <w:lvlText w:val=""/>
      <w:lvlJc w:val="left"/>
      <w:pPr>
        <w:tabs>
          <w:tab w:val="left" w:pos="0"/>
        </w:tabs>
        <w:ind w:left="0" w:firstLine="0"/>
      </w:pPr>
      <w:rPr>
        <w:rFonts w:hint="default"/>
        <w:u w:val="none"/>
      </w:rPr>
    </w:lvl>
    <w:lvl w:ilvl="5" w:tentative="0">
      <w:start w:val="1"/>
      <w:numFmt w:val="decimal"/>
      <w:lvlText w:val=""/>
      <w:lvlJc w:val="left"/>
      <w:pPr>
        <w:tabs>
          <w:tab w:val="left" w:pos="0"/>
        </w:tabs>
        <w:ind w:left="0" w:firstLine="0"/>
      </w:pPr>
      <w:rPr>
        <w:rFonts w:hint="default"/>
        <w:u w:val="none"/>
      </w:rPr>
    </w:lvl>
    <w:lvl w:ilvl="6" w:tentative="0">
      <w:start w:val="1"/>
      <w:numFmt w:val="decimal"/>
      <w:lvlText w:val=""/>
      <w:lvlJc w:val="left"/>
      <w:pPr>
        <w:tabs>
          <w:tab w:val="left" w:pos="0"/>
        </w:tabs>
        <w:ind w:left="0" w:firstLine="0"/>
      </w:pPr>
      <w:rPr>
        <w:rFonts w:hint="default"/>
        <w:u w:val="none"/>
      </w:rPr>
    </w:lvl>
    <w:lvl w:ilvl="7" w:tentative="0">
      <w:start w:val="1"/>
      <w:numFmt w:val="decimal"/>
      <w:lvlText w:val=""/>
      <w:lvlJc w:val="left"/>
      <w:pPr>
        <w:tabs>
          <w:tab w:val="left" w:pos="0"/>
        </w:tabs>
        <w:ind w:left="0" w:firstLine="0"/>
      </w:pPr>
      <w:rPr>
        <w:rFonts w:hint="default"/>
        <w:u w:val="none"/>
      </w:rPr>
    </w:lvl>
    <w:lvl w:ilvl="8" w:tentative="0">
      <w:start w:val="1"/>
      <w:numFmt w:val="decimal"/>
      <w:lvlText w:val=""/>
      <w:lvlJc w:val="left"/>
      <w:pPr>
        <w:tabs>
          <w:tab w:val="left" w:pos="0"/>
        </w:tabs>
        <w:ind w:left="0" w:firstLine="0"/>
      </w:pPr>
      <w:rPr>
        <w:rFonts w:hint="default"/>
        <w:u w:val="none"/>
      </w:rPr>
    </w:lvl>
  </w:abstractNum>
  <w:abstractNum w:abstractNumId="1">
    <w:nsid w:val="00000002"/>
    <w:multiLevelType w:val="multilevel"/>
    <w:tmpl w:val="00000002"/>
    <w:lvl w:ilvl="0" w:tentative="0">
      <w:start w:val="1"/>
      <w:numFmt w:val="chineseCounting"/>
      <w:suff w:val="nothing"/>
      <w:lvlText w:val="（%1）"/>
      <w:lvlJc w:val="left"/>
      <w:pPr>
        <w:tabs>
          <w:tab w:val="left" w:pos="0"/>
        </w:tabs>
        <w:ind w:left="0" w:firstLine="0"/>
      </w:pPr>
      <w:rPr>
        <w:rFonts w:hint="default"/>
        <w:u w:val="none"/>
      </w:rPr>
    </w:lvl>
    <w:lvl w:ilvl="1" w:tentative="0">
      <w:start w:val="1"/>
      <w:numFmt w:val="decimal"/>
      <w:lvlText w:val=""/>
      <w:lvlJc w:val="left"/>
      <w:pPr>
        <w:tabs>
          <w:tab w:val="left" w:pos="0"/>
        </w:tabs>
        <w:ind w:left="0" w:firstLine="0"/>
      </w:pPr>
      <w:rPr>
        <w:rFonts w:hint="default"/>
        <w:u w:val="none"/>
      </w:rPr>
    </w:lvl>
    <w:lvl w:ilvl="2" w:tentative="0">
      <w:start w:val="1"/>
      <w:numFmt w:val="decimal"/>
      <w:lvlText w:val=""/>
      <w:lvlJc w:val="left"/>
      <w:pPr>
        <w:tabs>
          <w:tab w:val="left" w:pos="0"/>
        </w:tabs>
        <w:ind w:left="0" w:firstLine="0"/>
      </w:pPr>
      <w:rPr>
        <w:rFonts w:hint="default"/>
        <w:u w:val="none"/>
      </w:rPr>
    </w:lvl>
    <w:lvl w:ilvl="3" w:tentative="0">
      <w:start w:val="1"/>
      <w:numFmt w:val="decimal"/>
      <w:lvlText w:val=""/>
      <w:lvlJc w:val="left"/>
      <w:pPr>
        <w:tabs>
          <w:tab w:val="left" w:pos="0"/>
        </w:tabs>
        <w:ind w:left="0" w:firstLine="0"/>
      </w:pPr>
      <w:rPr>
        <w:rFonts w:hint="default"/>
        <w:u w:val="none"/>
      </w:rPr>
    </w:lvl>
    <w:lvl w:ilvl="4" w:tentative="0">
      <w:start w:val="1"/>
      <w:numFmt w:val="decimal"/>
      <w:lvlText w:val=""/>
      <w:lvlJc w:val="left"/>
      <w:pPr>
        <w:tabs>
          <w:tab w:val="left" w:pos="0"/>
        </w:tabs>
        <w:ind w:left="0" w:firstLine="0"/>
      </w:pPr>
      <w:rPr>
        <w:rFonts w:hint="default"/>
        <w:u w:val="none"/>
      </w:rPr>
    </w:lvl>
    <w:lvl w:ilvl="5" w:tentative="0">
      <w:start w:val="1"/>
      <w:numFmt w:val="decimal"/>
      <w:lvlText w:val=""/>
      <w:lvlJc w:val="left"/>
      <w:pPr>
        <w:tabs>
          <w:tab w:val="left" w:pos="0"/>
        </w:tabs>
        <w:ind w:left="0" w:firstLine="0"/>
      </w:pPr>
      <w:rPr>
        <w:rFonts w:hint="default"/>
        <w:u w:val="none"/>
      </w:rPr>
    </w:lvl>
    <w:lvl w:ilvl="6" w:tentative="0">
      <w:start w:val="1"/>
      <w:numFmt w:val="decimal"/>
      <w:lvlText w:val=""/>
      <w:lvlJc w:val="left"/>
      <w:pPr>
        <w:tabs>
          <w:tab w:val="left" w:pos="0"/>
        </w:tabs>
        <w:ind w:left="0" w:firstLine="0"/>
      </w:pPr>
      <w:rPr>
        <w:rFonts w:hint="default"/>
        <w:u w:val="none"/>
      </w:rPr>
    </w:lvl>
    <w:lvl w:ilvl="7" w:tentative="0">
      <w:start w:val="1"/>
      <w:numFmt w:val="decimal"/>
      <w:lvlText w:val=""/>
      <w:lvlJc w:val="left"/>
      <w:pPr>
        <w:tabs>
          <w:tab w:val="left" w:pos="0"/>
        </w:tabs>
        <w:ind w:left="0" w:firstLine="0"/>
      </w:pPr>
      <w:rPr>
        <w:rFonts w:hint="default"/>
        <w:u w:val="none"/>
      </w:rPr>
    </w:lvl>
    <w:lvl w:ilvl="8" w:tentative="0">
      <w:start w:val="1"/>
      <w:numFmt w:val="decimal"/>
      <w:lvlText w:val=""/>
      <w:lvlJc w:val="left"/>
      <w:pPr>
        <w:tabs>
          <w:tab w:val="left" w:pos="0"/>
        </w:tabs>
        <w:ind w:left="0" w:firstLine="0"/>
      </w:pPr>
      <w:rPr>
        <w:rFonts w:hint="default"/>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85D3D"/>
    <w:rsid w:val="00172A27"/>
    <w:rsid w:val="00D5250C"/>
    <w:rsid w:val="00FD243A"/>
    <w:rsid w:val="00FE2C13"/>
    <w:rsid w:val="0FA6721C"/>
    <w:rsid w:val="6FDF9248"/>
    <w:rsid w:val="F9560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0"/>
    <w:pPr>
      <w:ind w:firstLine="200" w:firstLineChars="200"/>
    </w:pPr>
    <w:rPr>
      <w:sz w:val="28"/>
    </w:rPr>
  </w:style>
  <w:style w:type="paragraph" w:styleId="3">
    <w:name w:val="header"/>
    <w:basedOn w:val="1"/>
    <w:next w:val="4"/>
    <w:unhideWhenUsed/>
    <w:qFormat/>
    <w:uiPriority w:val="0"/>
    <w:pPr>
      <w:tabs>
        <w:tab w:val="center" w:pos="4153"/>
        <w:tab w:val="right" w:pos="8306"/>
      </w:tabs>
      <w:snapToGrid w:val="0"/>
    </w:pPr>
    <w:rPr>
      <w:sz w:val="18"/>
    </w:rPr>
  </w:style>
  <w:style w:type="paragraph" w:styleId="4">
    <w:name w:val="footer"/>
    <w:basedOn w:val="1"/>
    <w:next w:val="1"/>
    <w:unhideWhenUsed/>
    <w:qFormat/>
    <w:uiPriority w:val="0"/>
    <w:pPr>
      <w:tabs>
        <w:tab w:val="center" w:pos="4153"/>
        <w:tab w:val="right" w:pos="8306"/>
      </w:tabs>
      <w:snapToGrid w:val="0"/>
      <w:jc w:val="left"/>
    </w:pPr>
    <w:rPr>
      <w:sz w:val="18"/>
    </w:rPr>
  </w:style>
  <w:style w:type="paragraph" w:customStyle="1" w:styleId="7">
    <w:name w:val="正文 New New New New New New New New New New New"/>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正文 New"/>
    <w:next w:val="9"/>
    <w:unhideWhenUsed/>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9">
    <w:name w:val="目录 2 New New"/>
    <w:basedOn w:val="8"/>
    <w:next w:val="8"/>
    <w:unhideWhenUsed/>
    <w:qFormat/>
    <w:uiPriority w:val="0"/>
    <w:pPr>
      <w:ind w:left="200" w:leftChars="200"/>
    </w:pPr>
    <w:rPr>
      <w:rFonts w:eastAsia="宋体" w:cs="Droid Sans"/>
      <w:sz w:val="21"/>
    </w:rPr>
  </w:style>
  <w:style w:type="paragraph" w:customStyle="1" w:styleId="10">
    <w:name w:val="目录 2 New"/>
    <w:basedOn w:val="8"/>
    <w:next w:val="11"/>
    <w:unhideWhenUsed/>
    <w:qFormat/>
    <w:uiPriority w:val="0"/>
    <w:pPr>
      <w:ind w:left="200" w:leftChars="200"/>
    </w:pPr>
    <w:rPr>
      <w:rFonts w:eastAsia="宋体" w:cs="Droid Sans"/>
      <w:sz w:val="21"/>
    </w:rPr>
  </w:style>
  <w:style w:type="paragraph" w:customStyle="1" w:styleId="11">
    <w:name w:val="正文 New New New New New New New New New New New New New"/>
    <w:next w:val="10"/>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
    <w:name w:val="正文 New New"/>
    <w:next w:val="13"/>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样式1"/>
    <w:basedOn w:val="14"/>
    <w:unhideWhenUsed/>
    <w:qFormat/>
    <w:uiPriority w:val="0"/>
  </w:style>
  <w:style w:type="paragraph" w:customStyle="1" w:styleId="14">
    <w:name w:val="正文1"/>
    <w:basedOn w:val="12"/>
    <w:unhideWhenUsed/>
    <w:qFormat/>
    <w:uiPriority w:val="0"/>
    <w:pPr>
      <w:ind w:firstLine="233" w:firstLineChars="233"/>
    </w:pPr>
    <w:rPr>
      <w:rFonts w:hint="eastAsia" w:ascii="仿宋_GB2312" w:eastAsia="仿宋_GB2312" w:cs="仿宋_GB2312"/>
      <w:sz w:val="30"/>
      <w:szCs w:val="30"/>
    </w:rPr>
  </w:style>
  <w:style w:type="paragraph" w:customStyle="1" w:styleId="15">
    <w:name w:val="正文 New New New New New New New New New New New New New New New New New"/>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正文 New New New New New New New New New New New New New New"/>
    <w:unhideWhenUsed/>
    <w:qFormat/>
    <w:uiPriority w:val="0"/>
    <w:pPr>
      <w:widowControl w:val="0"/>
      <w:jc w:val="both"/>
    </w:pPr>
    <w:rPr>
      <w:rFonts w:ascii="Calibri" w:hAnsi="Calibri" w:eastAsia="宋体" w:cs="Times New Roman"/>
      <w:kern w:val="2"/>
      <w:sz w:val="21"/>
      <w:szCs w:val="24"/>
      <w:lang w:val="en-US" w:eastAsia="zh-CN" w:bidi="ar-SA"/>
    </w:rPr>
  </w:style>
  <w:style w:type="paragraph" w:customStyle="1" w:styleId="17">
    <w:name w:val="正文 New New New New New New New New New New New New New New New New New New New New New New New New New New New New New New New New New New New New New New New New New New New New New New New New New New New New New New New New New New New New"/>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正文 New New New New"/>
    <w:next w:val="19"/>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目录 2 New New New New"/>
    <w:basedOn w:val="18"/>
    <w:next w:val="18"/>
    <w:unhideWhenUsed/>
    <w:qFormat/>
    <w:uiPriority w:val="0"/>
    <w:pPr>
      <w:ind w:left="200" w:leftChars="200"/>
    </w:pPr>
    <w:rPr>
      <w:rFonts w:cs="Droid S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1806</Words>
  <Characters>10295</Characters>
  <Lines>85</Lines>
  <Paragraphs>24</Paragraphs>
  <TotalTime>2</TotalTime>
  <ScaleCrop>false</ScaleCrop>
  <LinksUpToDate>false</LinksUpToDate>
  <CharactersWithSpaces>12077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2023-05-18T19:39:00Z</dcterms:created>
  <dc:creator>邓丽妆</dc:creator>
  <cp:lastModifiedBy>李艳婷</cp:lastModifiedBy>
  <dcterms:modified xsi:type="dcterms:W3CDTF">2026-07-27T17:49:20Z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0679B3E10509493E9529F06173E76FC8</vt:lpwstr>
  </property>
</Properties>
</file>