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A4FE9">
      <w:pPr>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w:t>
      </w:r>
    </w:p>
    <w:p w14:paraId="58E9EE1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Style w:val="12"/>
          <w:rFonts w:hint="eastAsia" w:ascii="方正小标宋简体" w:hAnsi="方正小标宋简体" w:eastAsia="方正小标宋简体" w:cs="方正小标宋简体"/>
          <w:lang w:val="en-US" w:eastAsia="zh-CN"/>
        </w:rPr>
      </w:pPr>
      <w:r>
        <w:rPr>
          <w:rStyle w:val="12"/>
          <w:rFonts w:hint="eastAsia" w:ascii="方正小标宋简体" w:hAnsi="方正小标宋简体" w:eastAsia="方正小标宋简体" w:cs="方正小标宋简体"/>
        </w:rPr>
        <w:t>《惠州市养犬管理条例（</w:t>
      </w:r>
      <w:r>
        <w:rPr>
          <w:rStyle w:val="12"/>
          <w:rFonts w:hint="eastAsia" w:ascii="方正小标宋简体" w:hAnsi="方正小标宋简体" w:eastAsia="方正小标宋简体" w:cs="方正小标宋简体"/>
          <w:lang w:eastAsia="zh-CN"/>
        </w:rPr>
        <w:t>修正草案</w:t>
      </w:r>
      <w:r>
        <w:rPr>
          <w:rStyle w:val="12"/>
          <w:rFonts w:hint="eastAsia" w:ascii="方正小标宋简体" w:hAnsi="方正小标宋简体" w:eastAsia="方正小标宋简体" w:cs="方正小标宋简体"/>
        </w:rPr>
        <w:t>）</w:t>
      </w:r>
      <w:r>
        <w:rPr>
          <w:rStyle w:val="12"/>
          <w:rFonts w:hint="eastAsia" w:ascii="方正小标宋简体" w:hAnsi="方正小标宋简体" w:eastAsia="方正小标宋简体" w:cs="方正小标宋简体"/>
          <w:lang w:eastAsia="zh-CN"/>
        </w:rPr>
        <w:t>（</w:t>
      </w:r>
      <w:r>
        <w:rPr>
          <w:rStyle w:val="12"/>
          <w:rFonts w:hint="eastAsia" w:ascii="方正小标宋简体" w:hAnsi="方正小标宋简体" w:eastAsia="方正小标宋简体" w:cs="方正小标宋简体"/>
        </w:rPr>
        <w:t>征求意见稿</w:t>
      </w:r>
      <w:r>
        <w:rPr>
          <w:rStyle w:val="12"/>
          <w:rFonts w:hint="eastAsia" w:ascii="方正小标宋简体" w:hAnsi="方正小标宋简体" w:eastAsia="方正小标宋简体" w:cs="方正小标宋简体"/>
          <w:lang w:eastAsia="zh-CN"/>
        </w:rPr>
        <w:t>）</w:t>
      </w:r>
      <w:r>
        <w:rPr>
          <w:rStyle w:val="12"/>
          <w:rFonts w:hint="eastAsia" w:ascii="方正小标宋简体" w:hAnsi="方正小标宋简体" w:eastAsia="方正小标宋简体" w:cs="方正小标宋简体"/>
        </w:rPr>
        <w:t>》</w:t>
      </w:r>
      <w:bookmarkStart w:id="0" w:name="_GoBack"/>
      <w:bookmarkEnd w:id="0"/>
      <w:r>
        <w:rPr>
          <w:rStyle w:val="12"/>
          <w:rFonts w:hint="eastAsia" w:ascii="方正小标宋简体" w:hAnsi="方正小标宋简体" w:eastAsia="方正小标宋简体" w:cs="方正小标宋简体"/>
          <w:lang w:val="en-US" w:eastAsia="zh-CN"/>
        </w:rPr>
        <w:t>征求意见采纳情况汇总表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6127"/>
        <w:gridCol w:w="1093"/>
        <w:gridCol w:w="6329"/>
      </w:tblGrid>
      <w:tr w14:paraId="7E4B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9" w:type="dxa"/>
            <w:noWrap w:val="0"/>
            <w:vAlign w:val="top"/>
          </w:tcPr>
          <w:p w14:paraId="7F60B9DF">
            <w:pPr>
              <w:pStyle w:val="3"/>
              <w:ind w:left="0" w:leftChars="0" w:firstLine="0" w:firstLineChars="0"/>
              <w:jc w:val="center"/>
              <w:rPr>
                <w:rFonts w:hint="eastAsia" w:ascii="黑体" w:hAnsi="黑体" w:eastAsia="黑体" w:cs="黑体"/>
                <w:sz w:val="20"/>
                <w:szCs w:val="20"/>
                <w:vertAlign w:val="baseline"/>
                <w:lang w:val="en-US" w:eastAsia="zh-CN"/>
              </w:rPr>
            </w:pPr>
            <w:r>
              <w:rPr>
                <w:rFonts w:hint="eastAsia" w:ascii="黑体" w:hAnsi="黑体" w:eastAsia="黑体" w:cs="黑体"/>
                <w:sz w:val="20"/>
                <w:szCs w:val="20"/>
                <w:vertAlign w:val="baseline"/>
                <w:lang w:val="en-US" w:eastAsia="zh-CN"/>
              </w:rPr>
              <w:t>序号</w:t>
            </w:r>
          </w:p>
        </w:tc>
        <w:tc>
          <w:tcPr>
            <w:tcW w:w="6127" w:type="dxa"/>
            <w:noWrap w:val="0"/>
            <w:vAlign w:val="top"/>
          </w:tcPr>
          <w:p w14:paraId="173932A0">
            <w:pPr>
              <w:pStyle w:val="3"/>
              <w:ind w:left="0" w:leftChars="0" w:firstLine="0" w:firstLineChars="0"/>
              <w:jc w:val="center"/>
              <w:rPr>
                <w:rFonts w:hint="eastAsia" w:ascii="黑体" w:hAnsi="黑体" w:eastAsia="黑体" w:cs="黑体"/>
                <w:sz w:val="20"/>
                <w:szCs w:val="20"/>
                <w:vertAlign w:val="baseline"/>
                <w:lang w:val="en-US" w:eastAsia="zh-CN"/>
              </w:rPr>
            </w:pPr>
            <w:r>
              <w:rPr>
                <w:rFonts w:hint="eastAsia" w:ascii="黑体" w:hAnsi="黑体" w:eastAsia="黑体" w:cs="黑体"/>
                <w:sz w:val="20"/>
                <w:szCs w:val="20"/>
              </w:rPr>
              <w:t>意见和建议</w:t>
            </w:r>
          </w:p>
        </w:tc>
        <w:tc>
          <w:tcPr>
            <w:tcW w:w="1093" w:type="dxa"/>
            <w:noWrap w:val="0"/>
            <w:vAlign w:val="top"/>
          </w:tcPr>
          <w:p w14:paraId="4D6A1FD0">
            <w:pPr>
              <w:pStyle w:val="3"/>
              <w:ind w:left="0" w:leftChars="0" w:firstLine="0" w:firstLineChars="0"/>
              <w:jc w:val="center"/>
              <w:rPr>
                <w:rFonts w:hint="eastAsia" w:ascii="黑体" w:hAnsi="黑体" w:eastAsia="黑体" w:cs="黑体"/>
                <w:sz w:val="20"/>
                <w:szCs w:val="20"/>
                <w:vertAlign w:val="baseline"/>
                <w:lang w:val="en-US" w:eastAsia="zh-CN"/>
              </w:rPr>
            </w:pPr>
            <w:r>
              <w:rPr>
                <w:rFonts w:hint="eastAsia" w:ascii="黑体" w:hAnsi="黑体" w:eastAsia="黑体" w:cs="黑体"/>
                <w:sz w:val="20"/>
                <w:szCs w:val="20"/>
                <w:vertAlign w:val="baseline"/>
                <w:lang w:val="en-US" w:eastAsia="zh-CN"/>
              </w:rPr>
              <w:t>采纳情况</w:t>
            </w:r>
          </w:p>
        </w:tc>
        <w:tc>
          <w:tcPr>
            <w:tcW w:w="6329" w:type="dxa"/>
            <w:noWrap w:val="0"/>
            <w:vAlign w:val="top"/>
          </w:tcPr>
          <w:p w14:paraId="7FDEDEBD">
            <w:pPr>
              <w:pStyle w:val="3"/>
              <w:ind w:left="0" w:leftChars="0" w:firstLine="0" w:firstLineChars="0"/>
              <w:jc w:val="center"/>
              <w:rPr>
                <w:rFonts w:hint="eastAsia" w:ascii="黑体" w:hAnsi="黑体" w:eastAsia="黑体" w:cs="黑体"/>
                <w:sz w:val="20"/>
                <w:szCs w:val="20"/>
                <w:vertAlign w:val="baseline"/>
                <w:lang w:val="en-US" w:eastAsia="zh-CN"/>
              </w:rPr>
            </w:pPr>
            <w:r>
              <w:rPr>
                <w:rFonts w:hint="eastAsia" w:ascii="黑体" w:hAnsi="黑体" w:eastAsia="黑体" w:cs="黑体"/>
                <w:sz w:val="20"/>
                <w:szCs w:val="20"/>
                <w:vertAlign w:val="baseline"/>
                <w:lang w:val="en-US" w:eastAsia="zh-CN"/>
              </w:rPr>
              <w:t>不采纳理由</w:t>
            </w:r>
          </w:p>
        </w:tc>
      </w:tr>
      <w:tr w14:paraId="1FC7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14:paraId="441EE926">
            <w:pPr>
              <w:pStyle w:val="3"/>
              <w:ind w:left="0" w:leftChars="0" w:firstLine="0" w:firstLineChars="0"/>
              <w:jc w:val="center"/>
              <w:rPr>
                <w:rFonts w:hint="eastAsia" w:ascii="黑体" w:hAnsi="黑体" w:eastAsia="黑体" w:cs="黑体"/>
                <w:b/>
                <w:bCs/>
                <w:sz w:val="20"/>
                <w:szCs w:val="20"/>
                <w:vertAlign w:val="baseline"/>
                <w:lang w:val="en-US" w:eastAsia="zh-CN"/>
              </w:rPr>
            </w:pPr>
            <w:r>
              <w:rPr>
                <w:rFonts w:hint="eastAsia" w:ascii="黑体" w:hAnsi="黑体" w:eastAsia="黑体" w:cs="黑体"/>
                <w:b/>
                <w:bCs/>
                <w:sz w:val="20"/>
                <w:szCs w:val="20"/>
                <w:vertAlign w:val="baseline"/>
                <w:lang w:val="en-US" w:eastAsia="zh-CN"/>
              </w:rPr>
              <w:t>1</w:t>
            </w:r>
          </w:p>
        </w:tc>
        <w:tc>
          <w:tcPr>
            <w:tcW w:w="6127" w:type="dxa"/>
            <w:noWrap w:val="0"/>
            <w:vAlign w:val="top"/>
          </w:tcPr>
          <w:p w14:paraId="4808A1ED">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德国牧羊犬不应该列入禁养提议</w:t>
            </w:r>
          </w:p>
          <w:p w14:paraId="7D82EFAD">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德国牧羊犬常常被误贴上“烈性犬”“攻击性强”的标签，被多地纳入禁养犬范围。然而，这一判定完全背离了该犬种的真实性格特质，是基于外观、体型的刻板偏见，而非科学的性格评估。德国牧羊犬本身攻击性极低，将其一刀切禁养，既不科学，也不公平。</w:t>
            </w:r>
          </w:p>
          <w:p w14:paraId="7B1C9857">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德国牧羊犬的性格底色，是温顺、忠诚且极具服从性，而非主动攻击。作为犬类智商排名第三的犬种，德牧有着极强的学习能力和情绪感知力，对主人极度依恋，对家人温柔包容。经过科学培育的德牧，天性沉稳克制，在无外界刺激、无明确威胁的环境中，始终表现得安静温顺，绝不会主动发起攻击。它们所谓的“警惕性”，更多是对陌生环境和陌生人的谨慎观察，而非攻击性的体现，即便感知到潜在危险，也多以吠叫警示为主，不会轻易发动攻击。</w:t>
            </w:r>
          </w:p>
          <w:p w14:paraId="283E7C3E">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所谓德牧“攻击性强”的认知，本质是对其护卫本能的误解，更是混淆了“个体行为”与“品种天性”。德牧天生具备护卫本能，这种本能是守护主人、守护家园的责任感，而非主动攻击的恶意。只有在主人遭遇直接威胁、自身生命安全受到侵害，或是经过错误训练、长期缺乏社会化引导的极端情况下，才会出现攻击行为，这并非品种自带的天性。</w:t>
            </w:r>
          </w:p>
          <w:p w14:paraId="7F5280B7">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大量动物行为学研究也证实，犬只的攻击性与品种、体型并无直接关联，反而与饲养管理、训练社会化、主人教养方式高度相关。美国性情测试协会的测试数据显示，德国牧羊犬的性情通过率，与公认温顺的金毛寻回犬不相上下，远低于部分小型犬的攻击性概率。现实中，小型犬因缺乏训练、主人疏于管教，出现主动吠叫、咬人的概率远高于德牧，单纯因体型和刻板印象将德牧归为攻击性犬种，完全违背科学结论</w:t>
            </w:r>
            <w:r>
              <w:rPr>
                <w:rStyle w:val="10"/>
                <w:rFonts w:hint="eastAsia" w:ascii="仿宋_GB2312" w:hAnsi="仿宋_GB2312" w:cs="仿宋_GB2312"/>
                <w:sz w:val="20"/>
                <w:szCs w:val="20"/>
                <w:lang w:val="en-US" w:eastAsia="zh-CN" w:bidi="ar"/>
              </w:rPr>
              <w:t>。</w:t>
            </w:r>
          </w:p>
          <w:p w14:paraId="2CE349CB">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德国牧羊犬是全球公认的优秀工作犬，广泛服役于军警、搜救、导盲、助残等领域，这恰恰印证了其性格的稳定性和低攻击性。无论是协助警方缉毒搜救、陪伴视障人士出行，还是参与灾难救援，都需要具备极高的稳定性、服从性和极低攻击性的犬只，而德牧成为这类工作的首选犬种，正是对其性格最好的证明。一只能够与陌生人、特殊人群温和相处，精准执行复杂指令，且始终保持情绪稳定的犬只，绝不可能是天生具有攻击性的犬种。</w:t>
            </w:r>
          </w:p>
          <w:p w14:paraId="2B48D93C">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以品种为标准的禁养政策，本质是简单粗暴的“一刀切”管理，既无法真正解决城市养犬的安全问题，也让无数温顺乖巧的德牧遭遇不公。城市养犬管理的核心，从来不是禁养某个品种，而是规范养犬人的行为：落实养犬登记、强制疫苗接种、外出牵绳、科学训练社会化、严惩不文明养犬行为等。针对德牧这类体型较大、需专业养护的犬种，完全可以通过强化养犬人资质审核、加强行为监管等方式精细化管理，而非直接剥夺其生存和饲养的权利。</w:t>
            </w:r>
          </w:p>
          <w:p w14:paraId="629866BF">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Fonts w:hint="eastAsia" w:ascii="Times New Roman" w:hAnsi="Times New Roman"/>
                <w:sz w:val="20"/>
                <w:szCs w:val="20"/>
                <w:vertAlign w:val="baseline"/>
                <w:lang w:val="en-US" w:eastAsia="zh-CN"/>
              </w:rPr>
            </w:pPr>
            <w:r>
              <w:rPr>
                <w:rStyle w:val="10"/>
                <w:rFonts w:hint="eastAsia" w:ascii="仿宋_GB2312" w:hAnsi="仿宋_GB2312" w:eastAsia="仿宋_GB2312" w:cs="仿宋_GB2312"/>
                <w:sz w:val="20"/>
                <w:szCs w:val="20"/>
                <w:lang w:val="en-US" w:eastAsia="zh-CN" w:bidi="ar"/>
              </w:rPr>
              <w:t>每一个犬种都不该被刻板偏见定义，德国牧羊犬从未天生携带攻击性基因，它们是忠诚的伴侣、可靠的工作伙伴，而非需要被禁止饲养的“危险犬只”。摒弃以品种论攻击性的偏见，用科学、理性、精细化的方式管理城市养犬，才是兼顾公共安全与养犬人权益的合理方式，德国牧羊犬，理应被摘掉莫须有的“攻击性”标签，退出禁养犬名录。</w:t>
            </w:r>
          </w:p>
        </w:tc>
        <w:tc>
          <w:tcPr>
            <w:tcW w:w="1093" w:type="dxa"/>
            <w:noWrap w:val="0"/>
            <w:vAlign w:val="center"/>
          </w:tcPr>
          <w:p w14:paraId="21A511E6">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default"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不予采纳</w:t>
            </w:r>
          </w:p>
        </w:tc>
        <w:tc>
          <w:tcPr>
            <w:tcW w:w="6329" w:type="dxa"/>
            <w:noWrap w:val="0"/>
            <w:vAlign w:val="top"/>
          </w:tcPr>
          <w:p w14:paraId="7930A791">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Fonts w:hint="eastAsia" w:ascii="Times New Roman" w:hAnsi="Times New Roman"/>
                <w:sz w:val="20"/>
                <w:szCs w:val="20"/>
                <w:vertAlign w:val="baseline"/>
                <w:lang w:val="en-US" w:eastAsia="zh-CN"/>
              </w:rPr>
            </w:pPr>
          </w:p>
          <w:p w14:paraId="17E2CB64">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Fonts w:hint="eastAsia" w:ascii="Times New Roman" w:hAnsi="Times New Roman"/>
                <w:sz w:val="20"/>
                <w:szCs w:val="20"/>
                <w:vertAlign w:val="baseline"/>
                <w:lang w:val="en-US" w:eastAsia="zh-CN"/>
              </w:rPr>
            </w:pPr>
          </w:p>
          <w:p w14:paraId="03C3A764">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Fonts w:hint="eastAsia" w:ascii="Times New Roman" w:hAnsi="Times New Roman"/>
                <w:sz w:val="20"/>
                <w:szCs w:val="20"/>
                <w:vertAlign w:val="baseline"/>
                <w:lang w:val="en-US" w:eastAsia="zh-CN"/>
              </w:rPr>
            </w:pPr>
          </w:p>
          <w:p w14:paraId="67A48C41">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Fonts w:hint="eastAsia" w:ascii="Times New Roman" w:hAnsi="Times New Roman"/>
                <w:sz w:val="20"/>
                <w:szCs w:val="20"/>
                <w:vertAlign w:val="baseline"/>
                <w:lang w:val="en-US" w:eastAsia="zh-CN"/>
              </w:rPr>
            </w:pPr>
          </w:p>
          <w:p w14:paraId="3F25C289">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Fonts w:hint="eastAsia"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惠州市烈性犬名录（2024版）》制定过程中已面向全市公开征求群众意见，收集到多条关于将德国牧羊犬纳入烈性犬禁养范围的建议。随后组织召开专家论证会，结合本地养犬管理实际，综合犬种攻击性、安全风险、社会接受度等多方面因素，最终确定了《惠州市烈性犬名录（2024版）》，并明确重点管理区禁止饲养。关于</w:t>
            </w:r>
            <w:r>
              <w:rPr>
                <w:rStyle w:val="10"/>
                <w:rFonts w:hint="eastAsia" w:ascii="仿宋_GB2312" w:hAnsi="仿宋_GB2312" w:eastAsia="仿宋_GB2312" w:cs="仿宋_GB2312"/>
                <w:sz w:val="20"/>
                <w:szCs w:val="20"/>
                <w:lang w:val="en-US" w:eastAsia="zh-CN" w:bidi="ar"/>
              </w:rPr>
              <w:t>德国牧羊犬不应该列入禁养提议</w:t>
            </w:r>
            <w:r>
              <w:rPr>
                <w:rStyle w:val="10"/>
                <w:rFonts w:hint="eastAsia" w:ascii="仿宋_GB2312" w:hAnsi="仿宋_GB2312" w:cs="仿宋_GB2312"/>
                <w:sz w:val="20"/>
                <w:szCs w:val="20"/>
                <w:lang w:val="en-US" w:eastAsia="zh-CN" w:bidi="ar"/>
              </w:rPr>
              <w:t>，</w:t>
            </w:r>
            <w:r>
              <w:rPr>
                <w:rFonts w:hint="eastAsia" w:ascii="Times New Roman" w:hAnsi="Times New Roman"/>
                <w:sz w:val="20"/>
                <w:szCs w:val="20"/>
                <w:vertAlign w:val="baseline"/>
                <w:lang w:val="en-US" w:eastAsia="zh-CN"/>
              </w:rPr>
              <w:t>我</w:t>
            </w:r>
            <w:r>
              <w:rPr>
                <w:rFonts w:hint="eastAsia"/>
                <w:sz w:val="20"/>
                <w:szCs w:val="20"/>
                <w:vertAlign w:val="baseline"/>
                <w:lang w:val="en-US" w:eastAsia="zh-CN"/>
              </w:rPr>
              <w:t>局</w:t>
            </w:r>
            <w:r>
              <w:rPr>
                <w:rFonts w:hint="eastAsia" w:ascii="Times New Roman" w:hAnsi="Times New Roman"/>
                <w:sz w:val="20"/>
                <w:szCs w:val="20"/>
                <w:vertAlign w:val="baseline"/>
                <w:lang w:val="en-US" w:eastAsia="zh-CN"/>
              </w:rPr>
              <w:t>高度重视，将在下一轮开展《惠州市烈性犬名录（2024版）》修订时，将此建议作为修改名录的群众意见认真研判。</w:t>
            </w:r>
          </w:p>
        </w:tc>
      </w:tr>
      <w:tr w14:paraId="015E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14:paraId="1500BAD1">
            <w:pPr>
              <w:pStyle w:val="3"/>
              <w:ind w:left="0" w:leftChars="0" w:firstLine="0" w:firstLineChars="0"/>
              <w:jc w:val="center"/>
              <w:rPr>
                <w:rFonts w:hint="eastAsia" w:ascii="黑体" w:hAnsi="黑体" w:eastAsia="黑体" w:cs="黑体"/>
                <w:b/>
                <w:bCs/>
                <w:sz w:val="20"/>
                <w:szCs w:val="20"/>
                <w:vertAlign w:val="baseline"/>
                <w:lang w:val="en-US" w:eastAsia="zh-CN"/>
              </w:rPr>
            </w:pPr>
            <w:r>
              <w:rPr>
                <w:rFonts w:hint="eastAsia" w:ascii="黑体" w:hAnsi="黑体" w:eastAsia="黑体" w:cs="黑体"/>
                <w:b/>
                <w:bCs/>
                <w:sz w:val="20"/>
                <w:szCs w:val="20"/>
                <w:vertAlign w:val="baseline"/>
                <w:lang w:val="en-US" w:eastAsia="zh-CN"/>
              </w:rPr>
              <w:t>2</w:t>
            </w:r>
          </w:p>
        </w:tc>
        <w:tc>
          <w:tcPr>
            <w:tcW w:w="6127" w:type="dxa"/>
            <w:noWrap w:val="0"/>
            <w:vAlign w:val="top"/>
          </w:tcPr>
          <w:p w14:paraId="3581DE73">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德国牧羊犬不应该列入禁养提议</w:t>
            </w:r>
          </w:p>
          <w:p w14:paraId="6539B412">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德国牧羊犬常常被误贴上“烈性犬”“攻击性强”的标签，被多地纳入禁养犬范围。然而，这一判定完全背离了该犬种的真实性格特质，是基于外观、体型的刻板偏见，而非科学的性格评估。德国牧羊犬本身攻击性极低，将其一刀切禁养，既不科学，也不公平。</w:t>
            </w:r>
          </w:p>
          <w:p w14:paraId="676B1F44">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德国牧羊犬的性格底色，是温顺、忠诚且极具服从性，而非主动攻击。作为犬类智商排名第三的犬种，德牧有着极强的学习能力和情绪感知力，对主人极度依恋，对家人温柔包容。经过科学培育的德牧，天性沉稳克制，在无外界刺激、无明确威胁的环境中，始终表现得安静温顺，绝不会主动发起攻击。它们所谓的“警惕性”，更多是对陌生环境和陌生人的谨慎观察，而非攻击性的体现，即便感知到潜在危险，也多以吠叫警示为主，不会轻易发动攻击。</w:t>
            </w:r>
          </w:p>
          <w:p w14:paraId="3038186E">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所谓德牧“攻击性强”的认知，本质是对其护卫本能的误解，更是混淆了“个体行为”与“品种天性”。德牧天生具备护卫本能，这种本能是守护主人、守护家园的责任感，而非主动攻击的恶意。只有在主人遭遇直接威胁、自身生命安全受到侵害，或是经过错误训练、长期缺乏社会化引导的极端情况下，才会出现攻击行为，这并非品种自带的天性。</w:t>
            </w:r>
          </w:p>
          <w:p w14:paraId="23A6203A">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大量动物行为学研究也证实，犬只的攻击性与品种、体型并无直接关联，反而与饲养管理、训练社会化、主人教养方式高度相关。美国性情测试协会的测试数据显示，德国牧羊犬的性情通过率，与公认温顺的金毛寻回犬不相上下，远低于部分小型犬的攻击性概率。现实中，小型犬因缺乏训练、主人疏于管教，出现主动吠叫、咬人的概率远高于德牧，单纯因体型和刻板印象将德牧归为攻击性犬种，完全违背科学结论</w:t>
            </w:r>
            <w:r>
              <w:rPr>
                <w:rStyle w:val="10"/>
                <w:rFonts w:hint="eastAsia" w:ascii="仿宋_GB2312" w:hAnsi="仿宋_GB2312" w:cs="仿宋_GB2312"/>
                <w:sz w:val="20"/>
                <w:szCs w:val="20"/>
                <w:lang w:val="en-US" w:eastAsia="zh-CN" w:bidi="ar"/>
              </w:rPr>
              <w:t>。</w:t>
            </w:r>
          </w:p>
          <w:p w14:paraId="68CFEA20">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德国牧羊犬是全球公认的优秀工作犬，广泛服役于军警、搜救、导盲、助残等领域，这恰恰印证了其性格的稳定性和低攻击性。无论是协助警方缉毒搜救、陪伴视障人士出行，还是参与灾难救援，都需要具备极高的稳定性、服从性和极低攻击性的犬只，而德牧成为这类工作的首选犬种，正是对其性格最好的证明。一只能够与陌生人、特殊人群温和相处，精准执行复杂指令，且始终保持情绪稳定的犬只，绝不可能是天生具有攻击性的犬种。</w:t>
            </w:r>
          </w:p>
          <w:p w14:paraId="67CE8D72">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以品种为标准的禁养政策，本质是简单粗暴的“一刀切”管理，既无法真正解决城市养犬的安全问题，也让无数温顺乖巧的德牧遭遇不公。城市养犬管理的核心，从来不是禁养某个品种，而是规范养犬人的行为：落实养犬登记、强制疫苗接种、外出牵绳、科学训练社会化、严惩不文明养犬行为等。针对德牧这类体型较大、需专业养护的犬种，完全可以通过强化养犬人资质审核、加强行为监管等方式精细化管理，而非直接剥夺其生存和饲养的权利。</w:t>
            </w:r>
          </w:p>
          <w:p w14:paraId="43C3929C">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Fonts w:hint="eastAsia" w:ascii="Times New Roman" w:hAnsi="Times New Roman"/>
                <w:sz w:val="20"/>
                <w:szCs w:val="20"/>
                <w:vertAlign w:val="baseline"/>
                <w:lang w:val="en-US" w:eastAsia="zh-CN"/>
              </w:rPr>
            </w:pPr>
            <w:r>
              <w:rPr>
                <w:rStyle w:val="10"/>
                <w:rFonts w:hint="eastAsia" w:ascii="仿宋_GB2312" w:hAnsi="仿宋_GB2312" w:eastAsia="仿宋_GB2312" w:cs="仿宋_GB2312"/>
                <w:sz w:val="20"/>
                <w:szCs w:val="20"/>
                <w:lang w:val="en-US" w:eastAsia="zh-CN" w:bidi="ar"/>
              </w:rPr>
              <w:t>每一个犬种都不该被刻板偏见定义，德国牧羊犬从未天生携带攻击性基因，它们是忠诚的伴侣、可靠的工作伙伴，而非需要被禁止饲养的“危险犬只”。摒弃以品种论攻击性的偏见，用科学、理性、精细化的方式管理城市养犬，才是兼顾公共安全与养犬人权益的合理方式，德国牧羊犬，理应被摘掉莫须有的“攻击性”标签，退出禁养犬名录。</w:t>
            </w:r>
          </w:p>
        </w:tc>
        <w:tc>
          <w:tcPr>
            <w:tcW w:w="1093" w:type="dxa"/>
            <w:noWrap w:val="0"/>
            <w:vAlign w:val="center"/>
          </w:tcPr>
          <w:p w14:paraId="66F7ADD7">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不予采纳</w:t>
            </w:r>
          </w:p>
        </w:tc>
        <w:tc>
          <w:tcPr>
            <w:tcW w:w="6329" w:type="dxa"/>
            <w:noWrap w:val="0"/>
            <w:vAlign w:val="top"/>
          </w:tcPr>
          <w:p w14:paraId="57114A8A">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5FE121FD">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0D5CF265">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710AB49D">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139DF35A">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惠州市烈性犬名录（2024版）》制定过程中已面向全市公开征求群众意见，收集到多条关于将德国牧羊犬纳入烈性犬禁养范围的建议。随后组织召开专家论证会，结合本地养犬管理实际，综合犬种攻击性、安全风险、社会接受度等多方面因素，最终确定了《惠州市烈性犬名录（2024版）》，并明确重点管理区禁止饲养。关于</w:t>
            </w:r>
            <w:r>
              <w:rPr>
                <w:rStyle w:val="10"/>
                <w:rFonts w:hint="eastAsia" w:ascii="仿宋_GB2312" w:hAnsi="仿宋_GB2312" w:eastAsia="仿宋_GB2312" w:cs="仿宋_GB2312"/>
                <w:sz w:val="20"/>
                <w:szCs w:val="20"/>
                <w:lang w:val="en-US" w:eastAsia="zh-CN" w:bidi="ar"/>
              </w:rPr>
              <w:t>德国牧羊犬不应该列入禁养提议</w:t>
            </w:r>
            <w:r>
              <w:rPr>
                <w:rStyle w:val="10"/>
                <w:rFonts w:hint="eastAsia" w:ascii="仿宋_GB2312" w:hAnsi="仿宋_GB2312" w:cs="仿宋_GB2312"/>
                <w:sz w:val="20"/>
                <w:szCs w:val="20"/>
                <w:lang w:val="en-US" w:eastAsia="zh-CN" w:bidi="ar"/>
              </w:rPr>
              <w:t>，</w:t>
            </w:r>
            <w:r>
              <w:rPr>
                <w:rFonts w:hint="eastAsia" w:ascii="Times New Roman" w:hAnsi="Times New Roman"/>
                <w:sz w:val="20"/>
                <w:szCs w:val="20"/>
                <w:vertAlign w:val="baseline"/>
                <w:lang w:val="en-US" w:eastAsia="zh-CN"/>
              </w:rPr>
              <w:t>我</w:t>
            </w:r>
            <w:r>
              <w:rPr>
                <w:rFonts w:hint="eastAsia"/>
                <w:sz w:val="20"/>
                <w:szCs w:val="20"/>
                <w:vertAlign w:val="baseline"/>
                <w:lang w:val="en-US" w:eastAsia="zh-CN"/>
              </w:rPr>
              <w:t>局</w:t>
            </w:r>
            <w:r>
              <w:rPr>
                <w:rFonts w:hint="eastAsia" w:ascii="Times New Roman" w:hAnsi="Times New Roman"/>
                <w:sz w:val="20"/>
                <w:szCs w:val="20"/>
                <w:vertAlign w:val="baseline"/>
                <w:lang w:val="en-US" w:eastAsia="zh-CN"/>
              </w:rPr>
              <w:t>高度重视，将在下一轮开展《惠州市烈性犬名录（2024版）》修订时，将此建议作为修改名录的群众意见认真研判。</w:t>
            </w:r>
          </w:p>
        </w:tc>
      </w:tr>
      <w:tr w14:paraId="004F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14:paraId="76755D9E">
            <w:pPr>
              <w:pStyle w:val="3"/>
              <w:ind w:left="0" w:leftChars="0" w:firstLine="0" w:firstLineChars="0"/>
              <w:jc w:val="center"/>
              <w:rPr>
                <w:rFonts w:hint="eastAsia" w:ascii="黑体" w:hAnsi="黑体" w:eastAsia="黑体" w:cs="黑体"/>
                <w:b/>
                <w:bCs/>
                <w:sz w:val="20"/>
                <w:szCs w:val="20"/>
                <w:vertAlign w:val="baseline"/>
                <w:lang w:val="en-US" w:eastAsia="zh-CN"/>
              </w:rPr>
            </w:pPr>
            <w:r>
              <w:rPr>
                <w:rFonts w:hint="eastAsia" w:ascii="黑体" w:hAnsi="黑体" w:eastAsia="黑体" w:cs="黑体"/>
                <w:b/>
                <w:bCs/>
                <w:sz w:val="20"/>
                <w:szCs w:val="20"/>
                <w:vertAlign w:val="baseline"/>
                <w:lang w:val="en-US" w:eastAsia="zh-CN"/>
              </w:rPr>
              <w:t>3</w:t>
            </w:r>
          </w:p>
        </w:tc>
        <w:tc>
          <w:tcPr>
            <w:tcW w:w="6127" w:type="dxa"/>
            <w:noWrap w:val="0"/>
            <w:vAlign w:val="top"/>
          </w:tcPr>
          <w:p w14:paraId="4BB4280B">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default" w:ascii="仿宋_GB2312" w:hAnsi="仿宋_GB2312" w:eastAsia="仿宋_GB2312" w:cs="仿宋_GB2312"/>
                <w:i w:val="0"/>
                <w:iCs w:val="0"/>
                <w:sz w:val="20"/>
                <w:szCs w:val="20"/>
                <w:lang w:val="en-US" w:eastAsia="zh-CN" w:bidi="ar"/>
              </w:rPr>
            </w:pPr>
            <w:r>
              <w:rPr>
                <w:rStyle w:val="10"/>
                <w:rFonts w:hint="default" w:ascii="仿宋_GB2312" w:hAnsi="仿宋_GB2312" w:eastAsia="仿宋_GB2312" w:cs="仿宋_GB2312"/>
                <w:i w:val="0"/>
                <w:iCs w:val="0"/>
                <w:sz w:val="20"/>
                <w:szCs w:val="20"/>
                <w:lang w:val="en-US" w:eastAsia="zh-CN" w:bidi="ar"/>
              </w:rPr>
              <w:t>关于《惠州市养犬管理条例（修正草案）》的个人意见</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尊敬的惠州市城乡管理和综合执法局：</w:t>
            </w:r>
          </w:p>
          <w:p w14:paraId="442D9C33">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Fonts w:hint="eastAsia" w:ascii="Times New Roman" w:hAnsi="Times New Roman"/>
                <w:sz w:val="20"/>
                <w:szCs w:val="20"/>
                <w:vertAlign w:val="baseline"/>
                <w:lang w:val="en-US" w:eastAsia="zh-CN"/>
              </w:rPr>
            </w:pPr>
            <w:r>
              <w:rPr>
                <w:rStyle w:val="10"/>
                <w:rFonts w:hint="default" w:ascii="仿宋_GB2312" w:hAnsi="仿宋_GB2312" w:eastAsia="仿宋_GB2312" w:cs="仿宋_GB2312"/>
                <w:i w:val="0"/>
                <w:iCs w:val="0"/>
                <w:sz w:val="20"/>
                <w:szCs w:val="20"/>
                <w:lang w:val="en-US" w:eastAsia="zh-CN" w:bidi="ar"/>
              </w:rPr>
              <w:t>本人作为惠州市民，就《惠州市养犬管理条例（修正草案）》烈性犬名录提出意见，恳请将德国牧羊犬移出烈性犬禁养名单，具体理由如下：</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一、烈性犬名录前后不一致，存在一刀切问题</w:t>
            </w:r>
            <w:r>
              <w:rPr>
                <w:rStyle w:val="10"/>
                <w:rFonts w:hint="eastAsia" w:ascii="仿宋_GB2312" w:hAnsi="仿宋_GB2312" w:cs="仿宋_GB2312"/>
                <w:i w:val="0"/>
                <w:iCs w:val="0"/>
                <w:sz w:val="20"/>
                <w:szCs w:val="20"/>
                <w:lang w:val="en-US" w:eastAsia="zh-CN" w:bidi="ar"/>
              </w:rPr>
              <w:t>。我市</w:t>
            </w:r>
            <w:r>
              <w:rPr>
                <w:rStyle w:val="10"/>
                <w:rFonts w:hint="default" w:ascii="仿宋_GB2312" w:hAnsi="仿宋_GB2312" w:eastAsia="仿宋_GB2312" w:cs="仿宋_GB2312"/>
                <w:i w:val="0"/>
                <w:iCs w:val="0"/>
                <w:sz w:val="20"/>
                <w:szCs w:val="20"/>
                <w:lang w:val="en-US" w:eastAsia="zh-CN" w:bidi="ar"/>
              </w:rPr>
              <w:t>此前公布39种烈性犬征求意见名录时，并未列入德国牧羊犬；最终正式名录增至40种时却突然新增，未向公众说明调整依据，存在简单化、一刀切倾向，难以体现科学立法、精准治理的初衷。</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二、德国牧羊犬品性优良，不属于烈性犬，有大量权威实践佐证：</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1.性格沉稳、服从性极高，是全球公认的优秀家庭陪伴犬、护卫犬，对家人友善，经规范饲养极少主动攻击。</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2.全国军警系统主力工作犬，广泛用于巡逻、安检、搜爆、搜救、安保等公共场景，惠州机场、高铁站、大型活动现场均有德牧执勤。若属烈性犬，绝不可能用于人群密集的公共场所。</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3.多地用作导盲犬、心理疗愈犬，可长期接触老人、儿童、残障人士，进一步证明其性格温和可控。</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4.我市前期登记饲养的德牧整体文明规范，未出现高风险、高频率伤人记录，现实管理数据不支持将其列为烈性犬。</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三、依据新修订《治安管理处罚法》，应依法行政、精准管理，而非一刀切禁养</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2026年1月1日起实施的新修订《中华人民共和国治安管理处罚法》第八十九条已明确：</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1.对饲养烈性犬、放任恐吓他人、未采取安全措施伤人、驱使动物伤害他人等行为，由公安机关依法予以警告、罚款、拘留处罚，惩戒力度充分、执法依据清晰。</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2.法律强调对违法行为严厉打击，而非对低风险犬种简单禁养。建议我市严格落实依法行政，以教育+登记+牵绳+嘴套+处罚的精细化管理替代“一刀切禁养”，真正做到管行为、不管犬种。</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四、以宠物友好助力城市发展，释放消费活力当前惠州正处于经济提振、城市升级、吸引青年人口的关键时期。宠物友好是现代化城市的重要标志，也是拉动服务消费、社区经济、文旅消费的新增长点。简单一刀切禁养，既伤害合法养犬市民权益，也不利于塑造包容、宜居、有温度的城市形象。</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五、对标深圳等现代化城市，宠物友好拉动经济增长，值得惠州学习：深圳市作为国内领先的宠物友好型城市，在最新烈性犬名录中未将德国牧羊犬列入禁养范围，仅按大型犬规范约束，多年运行安全有序，社会反响良好。同时，深圳通过宠物友好城市建设，宠物经济规模已超100—150亿元，相关经营主体超8.8万家，带动宠物医疗、用品、服务、文旅等全产业链发展，成为城市经济新增长点</w:t>
            </w:r>
            <w:r>
              <w:rPr>
                <w:rStyle w:val="10"/>
                <w:rFonts w:hint="eastAsia" w:ascii="仿宋_GB2312" w:hAnsi="仿宋_GB2312" w:cs="仿宋_GB2312"/>
                <w:i w:val="0"/>
                <w:iCs w:val="0"/>
                <w:sz w:val="20"/>
                <w:szCs w:val="20"/>
                <w:lang w:val="en-US" w:eastAsia="zh-CN" w:bidi="ar"/>
              </w:rPr>
              <w:t>【</w:t>
            </w:r>
            <w:r>
              <w:rPr>
                <w:rStyle w:val="10"/>
                <w:rFonts w:hint="default" w:ascii="仿宋_GB2312" w:hAnsi="仿宋_GB2312" w:eastAsia="仿宋_GB2312" w:cs="仿宋_GB2312"/>
                <w:i w:val="0"/>
                <w:iCs w:val="0"/>
                <w:sz w:val="20"/>
                <w:szCs w:val="20"/>
                <w:lang w:val="en-US" w:eastAsia="zh-CN" w:bidi="ar"/>
              </w:rPr>
              <w:t>深圳市市场监督管理局(深圳市知识产权局)</w:t>
            </w:r>
            <w:r>
              <w:rPr>
                <w:rStyle w:val="10"/>
                <w:rFonts w:hint="eastAsia" w:ascii="仿宋_GB2312" w:hAnsi="仿宋_GB2312" w:cs="仿宋_GB2312"/>
                <w:i w:val="0"/>
                <w:iCs w:val="0"/>
                <w:sz w:val="20"/>
                <w:szCs w:val="20"/>
                <w:lang w:val="en-US" w:eastAsia="zh-CN" w:bidi="ar"/>
              </w:rPr>
              <w:t>】</w:t>
            </w:r>
            <w:r>
              <w:rPr>
                <w:rStyle w:val="10"/>
                <w:rFonts w:hint="default" w:ascii="仿宋_GB2312" w:hAnsi="仿宋_GB2312" w:eastAsia="仿宋_GB2312" w:cs="仿宋_GB2312"/>
                <w:i w:val="0"/>
                <w:iCs w:val="0"/>
                <w:sz w:val="20"/>
                <w:szCs w:val="20"/>
                <w:lang w:val="en-US" w:eastAsia="zh-CN" w:bidi="ar"/>
              </w:rPr>
              <w:t>。国内多地实践证明：</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1.合肥宠物经济规模近30亿元；</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2.无锡宠物产业约15亿元；</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3.江苏全省宠物产业规模突破500亿元；</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4.安徽九华山景区因宠物友好，游客量同比上涨30%，营收增长近50%江苏省人民政府。宠物友好不仅提升城市温度、吸引青年人口，更能直接拉动消费、提振GDP、促进就业。</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综上，当前惠州正处于经济提振、城市升级、吸引人才的关键时期，恳请市政府：</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1.科学评估犬种风险，将德国牧羊犬移出烈性犬名录，按大型犬实行登记、牵绳、戴嘴套、强制免疫等精细化管理；</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2.坚决杜绝一刀切管理，坚持依法行政，依托新《治安管理处罚法》强化对违法养犬行为的打击，而非简单禁养；</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3.主动对标深圳，打造宠物友好城市，释放宠物经济活力，提升城市软实力与竞争力，让惠州更宜居、更包容、更具现代化魅力。</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让养犬管理更公平、更合理、更贴近民心、更符合城市高质量发展方向。</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意见提交人：热心市民</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日期：</w:t>
            </w:r>
            <w:r>
              <w:rPr>
                <w:rStyle w:val="10"/>
                <w:rFonts w:hint="eastAsia" w:ascii="仿宋_GB2312" w:hAnsi="仿宋_GB2312" w:eastAsia="仿宋_GB2312" w:cs="仿宋_GB2312"/>
                <w:i w:val="0"/>
                <w:iCs w:val="0"/>
                <w:sz w:val="20"/>
                <w:szCs w:val="20"/>
                <w:lang w:val="en-US" w:eastAsia="zh-CN" w:bidi="ar"/>
              </w:rPr>
              <w:t>2026年5月8日</w:t>
            </w:r>
          </w:p>
        </w:tc>
        <w:tc>
          <w:tcPr>
            <w:tcW w:w="1093" w:type="dxa"/>
            <w:noWrap w:val="0"/>
            <w:vAlign w:val="center"/>
          </w:tcPr>
          <w:p w14:paraId="4FEEB2DE">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不予采纳</w:t>
            </w:r>
          </w:p>
        </w:tc>
        <w:tc>
          <w:tcPr>
            <w:tcW w:w="6329" w:type="dxa"/>
            <w:noWrap w:val="0"/>
            <w:vAlign w:val="top"/>
          </w:tcPr>
          <w:p w14:paraId="1AFF33FA">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5F798E45">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1BB19852">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惠州市烈性犬名录（2024版）》制定过程中已面向全市公开征求群众意见，收集到多条关于将德国牧羊犬纳入烈性犬禁养范围的建议。随后组织召开专家论证会，结合本地养犬管理实际，综合犬种攻击性、安全风险、社会接受度等多方面因素，最终确定了《惠州市烈性犬名录（2024版）》，并明确重点管理区禁止饲养。关于</w:t>
            </w:r>
            <w:r>
              <w:rPr>
                <w:rFonts w:hint="default" w:ascii="Times New Roman" w:hAnsi="Times New Roman"/>
                <w:sz w:val="20"/>
                <w:szCs w:val="20"/>
                <w:vertAlign w:val="baseline"/>
                <w:lang w:val="en-US" w:eastAsia="zh-CN"/>
              </w:rPr>
              <w:t>将德国牧羊犬移出烈性犬禁养名单</w:t>
            </w:r>
            <w:r>
              <w:rPr>
                <w:rFonts w:hint="eastAsia" w:ascii="Times New Roman" w:hAnsi="Times New Roman"/>
                <w:sz w:val="20"/>
                <w:szCs w:val="20"/>
                <w:vertAlign w:val="baseline"/>
                <w:lang w:val="en-US" w:eastAsia="zh-CN"/>
              </w:rPr>
              <w:t>的提议，我们高度重视，将在下一轮开展《惠州市烈性犬名录（2024版）》修订时，将此建议作为修改名录的群众意见认真研判。</w:t>
            </w:r>
          </w:p>
        </w:tc>
      </w:tr>
      <w:tr w14:paraId="7D90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14:paraId="3C97CCE7">
            <w:pPr>
              <w:pStyle w:val="3"/>
              <w:ind w:left="0" w:leftChars="0" w:firstLine="0" w:firstLineChars="0"/>
              <w:jc w:val="center"/>
              <w:rPr>
                <w:rFonts w:hint="eastAsia" w:ascii="黑体" w:hAnsi="黑体" w:eastAsia="黑体" w:cs="黑体"/>
                <w:b/>
                <w:bCs/>
                <w:sz w:val="20"/>
                <w:szCs w:val="20"/>
                <w:vertAlign w:val="baseline"/>
                <w:lang w:val="en-US" w:eastAsia="zh-CN"/>
              </w:rPr>
            </w:pPr>
            <w:r>
              <w:rPr>
                <w:rFonts w:hint="eastAsia" w:ascii="黑体" w:hAnsi="黑体" w:eastAsia="黑体" w:cs="黑体"/>
                <w:b/>
                <w:bCs/>
                <w:sz w:val="20"/>
                <w:szCs w:val="20"/>
                <w:vertAlign w:val="baseline"/>
                <w:lang w:val="en-US" w:eastAsia="zh-CN"/>
              </w:rPr>
              <w:t>4</w:t>
            </w:r>
          </w:p>
        </w:tc>
        <w:tc>
          <w:tcPr>
            <w:tcW w:w="6127" w:type="dxa"/>
            <w:noWrap w:val="0"/>
            <w:vAlign w:val="top"/>
          </w:tcPr>
          <w:p w14:paraId="7B008415">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Style w:val="10"/>
                <w:rFonts w:hint="default" w:ascii="仿宋_GB2312" w:hAnsi="仿宋_GB2312" w:eastAsia="仿宋_GB2312" w:cs="仿宋_GB2312"/>
                <w:i w:val="0"/>
                <w:iCs w:val="0"/>
                <w:sz w:val="20"/>
                <w:szCs w:val="20"/>
                <w:lang w:val="en-US" w:eastAsia="zh-CN" w:bidi="ar"/>
              </w:rPr>
            </w:pPr>
            <w:r>
              <w:rPr>
                <w:rStyle w:val="10"/>
                <w:rFonts w:hint="default" w:ascii="仿宋_GB2312" w:hAnsi="仿宋_GB2312" w:eastAsia="仿宋_GB2312" w:cs="仿宋_GB2312"/>
                <w:i w:val="0"/>
                <w:iCs w:val="0"/>
                <w:sz w:val="20"/>
                <w:szCs w:val="20"/>
                <w:lang w:val="en-US" w:eastAsia="zh-CN" w:bidi="ar"/>
              </w:rPr>
              <w:t>关于《惠州市养犬管理条例（修正草案）》的个人意见</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尊敬的惠州市城乡管理和综合执法局：</w:t>
            </w:r>
          </w:p>
          <w:p w14:paraId="0256305E">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400" w:firstLineChars="200"/>
              <w:jc w:val="both"/>
              <w:textAlignment w:val="top"/>
              <w:rPr>
                <w:rFonts w:hint="eastAsia" w:ascii="Times New Roman" w:hAnsi="Times New Roman"/>
                <w:sz w:val="20"/>
                <w:szCs w:val="20"/>
                <w:vertAlign w:val="baseline"/>
                <w:lang w:val="en-US" w:eastAsia="zh-CN"/>
              </w:rPr>
            </w:pPr>
            <w:r>
              <w:rPr>
                <w:rStyle w:val="10"/>
                <w:rFonts w:hint="default" w:ascii="仿宋_GB2312" w:hAnsi="仿宋_GB2312" w:eastAsia="仿宋_GB2312" w:cs="仿宋_GB2312"/>
                <w:i w:val="0"/>
                <w:iCs w:val="0"/>
                <w:sz w:val="20"/>
                <w:szCs w:val="20"/>
                <w:lang w:val="en-US" w:eastAsia="zh-CN" w:bidi="ar"/>
              </w:rPr>
              <w:t>本人作为惠州市民，就《惠州市养犬管理条例（修正草案）》烈性犬名录提出意见，恳请将德国牧羊犬移出烈性犬禁养名单，具体理由如下：</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一、烈性犬名录前后不一致，存在一刀切问题</w:t>
            </w:r>
            <w:r>
              <w:rPr>
                <w:rStyle w:val="10"/>
                <w:rFonts w:hint="eastAsia" w:ascii="仿宋_GB2312" w:hAnsi="仿宋_GB2312" w:eastAsia="仿宋_GB2312" w:cs="仿宋_GB2312"/>
                <w:i w:val="0"/>
                <w:iCs w:val="0"/>
                <w:sz w:val="20"/>
                <w:szCs w:val="20"/>
                <w:lang w:val="en-US" w:eastAsia="zh-CN" w:bidi="ar"/>
              </w:rPr>
              <w:t>。我市</w:t>
            </w:r>
            <w:r>
              <w:rPr>
                <w:rStyle w:val="10"/>
                <w:rFonts w:hint="default" w:ascii="仿宋_GB2312" w:hAnsi="仿宋_GB2312" w:eastAsia="仿宋_GB2312" w:cs="仿宋_GB2312"/>
                <w:i w:val="0"/>
                <w:iCs w:val="0"/>
                <w:sz w:val="20"/>
                <w:szCs w:val="20"/>
                <w:lang w:val="en-US" w:eastAsia="zh-CN" w:bidi="ar"/>
              </w:rPr>
              <w:t>此前公布39种烈性犬征求意见名录时，并未列入德国牧羊犬；最终正式名录增至40种时却突然新增，未向公众说明调整依据，存在简单化、一刀切倾向，难以体现科学立法、精准治理的初衷。</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二、德国牧羊犬品性优良，不属于烈性犬，有大量权威实践佐证：</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1.性格沉稳、服从性极高，是全球公认的优秀家庭陪伴犬、护卫犬，对家人友善，经规范饲养极少主动攻击。</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2.全国军警系统主力工作犬，广泛用于巡逻、安检、搜爆、搜救、安保等公共场景，惠州机场、高铁站、大型活动现场均有德牧执勤。若属烈性犬，绝不可能用于人群密集的公共场所。</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3.多地用作导盲犬、心理疗愈犬，可长期接触老人、儿童、残障人士，进一步证明其性格温和可控。</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4.我市前期登记饲养的德牧整体文明规范，未出现高风险、高频率伤人记录，现实管理数据不支持将其列为烈性犬。</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三、依据新修订《治安管理处罚法》，应依法行政、精准管理，而非一刀切禁养</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2026年1月1日起实施的新修订《中华人民共和国治安管理处罚法》第八十九条已明确：</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1.对饲养烈性犬、放任恐吓他人、未采取安全措施伤人、驱使动物伤害他人等行为，由公安机关依法予以警告、罚款、拘留处罚，惩戒力度充分、执法依据清晰。</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2.法律强调对违法行为严厉打击，而非对低风险犬种简单禁养。建议我市严格落实依法行政，以教育+登记+牵绳+嘴套+处罚的精细化管理替代“一刀切禁养”，真正做到管行为、不管犬种。</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四、以宠物友好助力城市发展，释放消费活力当前惠州正处于经济提振、城市升级、吸引青年人口的关键时期。宠物友好是现代化城市的重要标志，也是拉动服务消费、社区经济、文旅消费的新增长点。简单一刀切禁养，既伤害合法养犬市民权益，也不利于塑造包容、宜居、有温度的城市形象。</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五、对标深圳等现代化城市，宠物友好拉动经济增长，值得惠州学习：深圳市作为国内领先的宠物友好型城市，在最新烈性犬名录中未将德国牧羊犬列入禁养范围，仅按大型犬规范约束，多年运行安全有序，社会反响良好。同时，深圳通过宠物友好城市建设，宠物经济规模已超100—150亿元，相关经营主体超8.8万家，带动宠物医疗、用品、服务、文旅等全产业链发展，成为城市经济新增长点</w:t>
            </w:r>
            <w:r>
              <w:rPr>
                <w:rStyle w:val="10"/>
                <w:rFonts w:hint="eastAsia" w:ascii="仿宋_GB2312" w:hAnsi="仿宋_GB2312" w:cs="仿宋_GB2312"/>
                <w:i w:val="0"/>
                <w:iCs w:val="0"/>
                <w:sz w:val="20"/>
                <w:szCs w:val="20"/>
                <w:lang w:val="en-US" w:eastAsia="zh-CN" w:bidi="ar"/>
              </w:rPr>
              <w:t>【</w:t>
            </w:r>
            <w:r>
              <w:rPr>
                <w:rStyle w:val="10"/>
                <w:rFonts w:hint="default" w:ascii="仿宋_GB2312" w:hAnsi="仿宋_GB2312" w:eastAsia="仿宋_GB2312" w:cs="仿宋_GB2312"/>
                <w:i w:val="0"/>
                <w:iCs w:val="0"/>
                <w:sz w:val="20"/>
                <w:szCs w:val="20"/>
                <w:lang w:val="en-US" w:eastAsia="zh-CN" w:bidi="ar"/>
              </w:rPr>
              <w:t>深圳市市场监督管理局</w:t>
            </w:r>
            <w:r>
              <w:rPr>
                <w:rStyle w:val="10"/>
                <w:rFonts w:hint="eastAsia" w:ascii="仿宋_GB2312" w:hAnsi="仿宋_GB2312" w:cs="仿宋_GB2312"/>
                <w:i w:val="0"/>
                <w:iCs w:val="0"/>
                <w:sz w:val="20"/>
                <w:szCs w:val="20"/>
                <w:lang w:val="en-US" w:eastAsia="zh-CN" w:bidi="ar"/>
              </w:rPr>
              <w:t>（</w:t>
            </w:r>
            <w:r>
              <w:rPr>
                <w:rStyle w:val="10"/>
                <w:rFonts w:hint="default" w:ascii="仿宋_GB2312" w:hAnsi="仿宋_GB2312" w:eastAsia="仿宋_GB2312" w:cs="仿宋_GB2312"/>
                <w:i w:val="0"/>
                <w:iCs w:val="0"/>
                <w:sz w:val="20"/>
                <w:szCs w:val="20"/>
                <w:lang w:val="en-US" w:eastAsia="zh-CN" w:bidi="ar"/>
              </w:rPr>
              <w:t>深圳市知识产权局</w:t>
            </w:r>
            <w:r>
              <w:rPr>
                <w:rStyle w:val="10"/>
                <w:rFonts w:hint="eastAsia" w:ascii="仿宋_GB2312" w:hAnsi="仿宋_GB2312" w:cs="仿宋_GB2312"/>
                <w:i w:val="0"/>
                <w:iCs w:val="0"/>
                <w:sz w:val="20"/>
                <w:szCs w:val="20"/>
                <w:lang w:val="en-US" w:eastAsia="zh-CN" w:bidi="ar"/>
              </w:rPr>
              <w:t>）】</w:t>
            </w:r>
            <w:r>
              <w:rPr>
                <w:rStyle w:val="10"/>
                <w:rFonts w:hint="default" w:ascii="仿宋_GB2312" w:hAnsi="仿宋_GB2312" w:eastAsia="仿宋_GB2312" w:cs="仿宋_GB2312"/>
                <w:i w:val="0"/>
                <w:iCs w:val="0"/>
                <w:sz w:val="20"/>
                <w:szCs w:val="20"/>
                <w:lang w:val="en-US" w:eastAsia="zh-CN" w:bidi="ar"/>
              </w:rPr>
              <w:t>。国内多地实践证明：</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1.合肥宠物经济规模近30亿元；</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2.无锡宠物产业约15亿元；</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3.江苏全省宠物产业规模突破500亿元；</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4.安徽九华山景区因宠物友好，游客量同比上涨30%，营收增长近50%江苏省人民政府。宠物友好不仅提升城市温度、吸引青年人口，更能直接拉动消费、提振GDP、促进就业。</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综上，当前惠州正处于经济提振、城市升级、吸引人才的关键时期，恳请市政府：</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1.科学评估犬种风险，将德国牧羊犬移出烈性犬名录，按大型犬实行登记、牵绳、戴嘴套、强制免疫等精细化管理；</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2.坚决杜绝一刀切管理，坚持依法行政，依托新《治安管理处罚法》强化对违法养犬行为的打击，而非简单禁养；</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3.主动对标深圳，打造宠物友好城市，释放宠物经济活力，提升城市软实力与竞争力，让惠州更宜居、更包容、更具现代化魅力。</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让养犬管理更公平、更合理、更贴近民心、更符合城市高质量发展方向。</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意见提交人：热心市民</w:t>
            </w:r>
            <w:r>
              <w:rPr>
                <w:rStyle w:val="10"/>
                <w:rFonts w:hint="default" w:ascii="仿宋_GB2312" w:hAnsi="仿宋_GB2312" w:eastAsia="仿宋_GB2312" w:cs="仿宋_GB2312"/>
                <w:i w:val="0"/>
                <w:iCs w:val="0"/>
                <w:sz w:val="20"/>
                <w:szCs w:val="20"/>
                <w:lang w:val="en-US" w:eastAsia="zh-CN" w:bidi="ar"/>
              </w:rPr>
              <w:br w:type="textWrapping"/>
            </w:r>
            <w:r>
              <w:rPr>
                <w:rStyle w:val="10"/>
                <w:rFonts w:hint="default" w:ascii="仿宋_GB2312" w:hAnsi="仿宋_GB2312" w:eastAsia="仿宋_GB2312" w:cs="仿宋_GB2312"/>
                <w:i w:val="0"/>
                <w:iCs w:val="0"/>
                <w:sz w:val="20"/>
                <w:szCs w:val="20"/>
                <w:lang w:val="en-US" w:eastAsia="zh-CN" w:bidi="ar"/>
              </w:rPr>
              <w:t>日期：</w:t>
            </w:r>
            <w:r>
              <w:rPr>
                <w:rStyle w:val="10"/>
                <w:rFonts w:hint="eastAsia" w:ascii="仿宋_GB2312" w:hAnsi="仿宋_GB2312" w:eastAsia="仿宋_GB2312" w:cs="仿宋_GB2312"/>
                <w:i w:val="0"/>
                <w:iCs w:val="0"/>
                <w:sz w:val="20"/>
                <w:szCs w:val="20"/>
                <w:lang w:val="en-US" w:eastAsia="zh-CN" w:bidi="ar"/>
              </w:rPr>
              <w:t>2026年5月8日</w:t>
            </w:r>
          </w:p>
        </w:tc>
        <w:tc>
          <w:tcPr>
            <w:tcW w:w="1093" w:type="dxa"/>
            <w:noWrap w:val="0"/>
            <w:vAlign w:val="center"/>
          </w:tcPr>
          <w:p w14:paraId="23A201D0">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p>
          <w:p w14:paraId="2ED2E7B2">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p>
          <w:p w14:paraId="460D4FC6">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p>
          <w:p w14:paraId="1FE39AB2">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p>
          <w:p w14:paraId="6A470F14">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p>
          <w:p w14:paraId="1128E5B5">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p>
          <w:p w14:paraId="7193301C">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p>
          <w:p w14:paraId="3F90134B">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p>
          <w:p w14:paraId="41E79CC4">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p>
          <w:p w14:paraId="62579DB7">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eastAsia"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不予采纳</w:t>
            </w:r>
          </w:p>
        </w:tc>
        <w:tc>
          <w:tcPr>
            <w:tcW w:w="6329" w:type="dxa"/>
            <w:noWrap w:val="0"/>
            <w:vAlign w:val="top"/>
          </w:tcPr>
          <w:p w14:paraId="6530DDCB">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6EE35F5A">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5F50AF55">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7D19D3B2">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5414713C">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p>
          <w:p w14:paraId="26519755">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惠州市烈性犬名录（2024版）》制定过程中已面向全市公开征求群众意见，收集到多条关于将德国牧羊犬纳入烈性犬禁养范围的建议。随后组织召开专家论证会，结合本地养犬管理实际，综合犬种攻击性、安全风险、社会接受度等多方面因素，最终确定了《惠州市烈性犬名录（2024版）》，并明确重点管理区禁止饲养。关于</w:t>
            </w:r>
            <w:r>
              <w:rPr>
                <w:rFonts w:hint="default" w:ascii="Times New Roman" w:hAnsi="Times New Roman"/>
                <w:sz w:val="20"/>
                <w:szCs w:val="20"/>
                <w:vertAlign w:val="baseline"/>
                <w:lang w:val="en-US" w:eastAsia="zh-CN"/>
              </w:rPr>
              <w:t>将德国牧羊犬移出烈性犬禁养名单</w:t>
            </w:r>
            <w:r>
              <w:rPr>
                <w:rFonts w:hint="eastAsia" w:ascii="Times New Roman" w:hAnsi="Times New Roman"/>
                <w:sz w:val="20"/>
                <w:szCs w:val="20"/>
                <w:vertAlign w:val="baseline"/>
                <w:lang w:val="en-US" w:eastAsia="zh-CN"/>
              </w:rPr>
              <w:t>的提议，我们高度重视，将在下一轮开展《惠州市烈性犬名录（2024版）》修订时，将此建议作为修改名录的群众意见认真研判。</w:t>
            </w:r>
          </w:p>
        </w:tc>
      </w:tr>
      <w:tr w14:paraId="0BE1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14:paraId="24BCDCD6">
            <w:pPr>
              <w:pStyle w:val="3"/>
              <w:ind w:left="0" w:leftChars="0" w:firstLine="0" w:firstLineChars="0"/>
              <w:jc w:val="center"/>
              <w:rPr>
                <w:rFonts w:hint="eastAsia" w:ascii="黑体" w:hAnsi="黑体" w:eastAsia="黑体" w:cs="黑体"/>
                <w:b/>
                <w:bCs/>
                <w:sz w:val="20"/>
                <w:szCs w:val="20"/>
                <w:vertAlign w:val="baseline"/>
                <w:lang w:val="en-US" w:eastAsia="zh-CN"/>
              </w:rPr>
            </w:pPr>
            <w:r>
              <w:rPr>
                <w:rFonts w:hint="eastAsia" w:ascii="黑体" w:hAnsi="黑体" w:eastAsia="黑体" w:cs="黑体"/>
                <w:b/>
                <w:bCs/>
                <w:sz w:val="20"/>
                <w:szCs w:val="20"/>
                <w:vertAlign w:val="baseline"/>
                <w:lang w:val="en-US" w:eastAsia="zh-CN"/>
              </w:rPr>
              <w:t>5</w:t>
            </w:r>
          </w:p>
        </w:tc>
        <w:tc>
          <w:tcPr>
            <w:tcW w:w="6127" w:type="dxa"/>
            <w:noWrap w:val="0"/>
            <w:vAlign w:val="top"/>
          </w:tcPr>
          <w:p w14:paraId="7EA188DB">
            <w:pPr>
              <w:keepNext w:val="0"/>
              <w:keepLines/>
              <w:pageBreakBefore w:val="0"/>
              <w:widowControl w:val="0"/>
              <w:suppressLineNumbers w:val="0"/>
              <w:kinsoku/>
              <w:wordWrap/>
              <w:overflowPunct/>
              <w:topLinePunct/>
              <w:autoSpaceDE/>
              <w:autoSpaceDN/>
              <w:bidi w:val="0"/>
              <w:adjustRightInd/>
              <w:snapToGrid/>
              <w:spacing w:line="400" w:lineRule="exact"/>
              <w:ind w:firstLine="400" w:firstLineChars="200"/>
              <w:jc w:val="both"/>
              <w:textAlignment w:val="top"/>
              <w:rPr>
                <w:rFonts w:hint="eastAsia" w:ascii="Times New Roman" w:hAnsi="Times New Roman"/>
                <w:sz w:val="20"/>
                <w:szCs w:val="20"/>
                <w:vertAlign w:val="baseline"/>
                <w:lang w:val="en-US" w:eastAsia="zh-CN"/>
              </w:rPr>
            </w:pPr>
            <w:r>
              <w:rPr>
                <w:rStyle w:val="10"/>
                <w:rFonts w:hint="eastAsia" w:ascii="仿宋_GB2312" w:hAnsi="仿宋_GB2312" w:eastAsia="仿宋_GB2312" w:cs="仿宋_GB2312"/>
                <w:i w:val="0"/>
                <w:iCs w:val="0"/>
                <w:sz w:val="20"/>
                <w:szCs w:val="20"/>
                <w:lang w:val="en-US" w:eastAsia="zh-CN" w:bidi="ar"/>
              </w:rPr>
              <w:t>关于对《惠州市养犬管理条例（修正草案）》（征求意见稿）的建议</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市城管执法局</w:t>
            </w:r>
            <w:r>
              <w:rPr>
                <w:rStyle w:val="10"/>
                <w:rFonts w:hint="eastAsia" w:ascii="仿宋_GB2312" w:hAnsi="仿宋_GB2312" w:cs="仿宋_GB2312"/>
                <w:i w:val="0"/>
                <w:iCs w:val="0"/>
                <w:sz w:val="20"/>
                <w:szCs w:val="20"/>
                <w:lang w:val="en-US" w:eastAsia="zh-CN" w:bidi="ar"/>
              </w:rPr>
              <w:t>：</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惠州市养犬管理条例（修正草案）（征求意见稿）》及其修正说明已认真研读。作为一名市民，本人深切理解并支持加强养犬管理、保障公共安全与公共卫生的立法宗旨。草案在衔接上位法、明确法律责任等方面做出了重要完善。然而，一部良法不仅要实现有效管理，更应体现权利与义务的平衡，在约束不文明行为的同时，尊重和保障各守法公民的合法权益。现建议如下：</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一、建议增设“文明养犬正向引导与激励”条款</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建议在条例“总则”或“宣传教育与社会参与”章节（如第七条）中增加规定，明确市、区人民政府应当探索建立文明养犬信用激励或便利措施。例如，“鼓励建立文明养犬信用记录。对长期自觉遵守本条例规定、无违规记录的养犬人，可在犬只登记、免疫、相关公共服务等方面提供便利或予以激励，具体办法由市人民政府制定”。</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理由：一是国内部分城市（如文档中提及的多个城市条例）</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的先进管理实践已开始探索正向引导，虽未在条文中明确激励措施，但在实际管理中已出现相关尝试。在法规中确立此原则，为后续出台具体激励政策提供法律依据，是管理理念进步的体现。二是单纯依靠处罚的“堵”与管理成本高昂。通过建立“疏”的激励机制（如信用积分、费用减免），能够从源头上降低执法阻力，引导养犬人从“被动遵守”转向“主动维护”，实现更高效、更低成本的社会治理，这符合《修正说明》中提出的“城市精细化治理”精神。</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二、建议明确“烈性犬名录”制定与调整的公众参与及过渡安排</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建议对草案第十五条进行细化，修改为：“烈性犬名录由市城乡管理和综合执法部门会同市农业农村、公安部门制定，在组织专家论证并公开征求社会意见后，向社会公布并动态调整。名录调整时，对因名录修订而新增列入的犬种，应为已按规定饲养该犬只的养犬人设置合理的过渡期，并提供必要的协助或指导”。</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理由：一是程序正当性依据。行政决策，特别是涉及公民财产权（饲养的犬只）的限制性规定，其制定过程应当公开、透明，并保障公众的知情权与参与权。这是法治政府建设和依法行政的基本要求。二是公民基于对现行有效名录的信赖而饲养犬只，其行为具有合法性。若名录动态调整后，对已合法饲养的犬只立即采取禁止措施而不设过渡期，将损害公民对政府的信赖利益，有失公平。设置过渡期是行政法上比例原则和保护信赖利益原则的体现，能有效减少社会矛盾，促进法规平稳实施。</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三、建议在法律责任章节引入“分级处理与教育前置”原则</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建议在草案第二十六条（违规饲养烈性犬及犬只伤人的罚则）或相应位置增加原则性规定。例如：“违反本条例规定，情节显著轻微，未造成危害后果，且养犬人积极配合改正的，执法部门可以依法从轻、减轻或者不予处罚，应以批评教育、责令改正为主”。</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理由：一是《中华人民共和国行政处罚法》第六条规定，“实施行政处罚，纠正违法行为，应当坚持处罚与教育相结合”，第三十三条规定了“轻微不罚”“首违不罚”等情形。地方性法规在设定法律责任时，应贯彻这一原则，而非单纯援引处罚较重的《治安管理处罚法》。二是对于初次、轻微的非主观恶意违法（如偶尔未拴绳但未造成任何影响），直接适用拘留或罚款，可能激化矛盾，不利于教育当事人。确立“教育前置、过罚相当”的原则，能使执法更具温度，更易获得公众理解与配合，实现法律效果与社会效果的统一。</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四、建议强化行政机关的“公共服务供给”配套责任</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针对草案新增的第二十二条（病死犬只无害化处理义务）和第三十二条（相应罚则），建议在第二十二条中增加一款，明确政府的保障责任。例如：“市农业农村部门应当向社会公布本市病死犬只无害化处理的场所名录、服务指南、联系方式及收费标准（或政府补贴政策），为养犬人及相关单位履行无害化处理义务提供明确、便捷的指引和渠道。”</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理由：“没有救济就没有权利”，同样，“没有便利就没有义务”。法规为公民设定了无害化处理的法定义务，政府就负有提供履行该义务所必需的公共服务的相应责任。如果缺乏公开、便利、可及的处理渠道，该条款将难以有效执行，甚至可能“倒逼”部分养犬人违法弃置。二是《修正说明》及条例第七条均强调了“社会参与”和经营机构的“配合”责任。政府作为主导者，首先应搭建好公共服务的平台，才能有效引导和整合社会力量共同参与，形成治理合力。</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五：设立“无辜受害者先行救助与惩罚性赔偿”机制</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建议在条例中增设条款：“因未牵绳、未戴嘴套或饲养禁养犬只导致他人人身或宠物损害的，饲养人除承担全部医疗费、财产损失外，还应承担惩罚性赔偿责任。对于无法找到饲养人的流浪犬伤人事件，探索由政府设立的专项救助基金先行垫付医疗费用，再向责任人追偿”。</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理由：一是守法市民不应为违法者的行为买单。现行《民法典》虽规定了赔偿责任，但实践中受害者维权成本高。设立惩罚性赔偿和先行救助机制，能真正体现法规对守法者的保护，避免“谁守法谁吃亏”。二是通过加重违法者的经济赔偿成本（惩罚性赔偿），能更有效地威慑不牵绳、弃养等恶意行为，让法规的“牙齿”更锋利。</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热心市民</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2026年5月18日</w:t>
            </w:r>
          </w:p>
        </w:tc>
        <w:tc>
          <w:tcPr>
            <w:tcW w:w="1093" w:type="dxa"/>
            <w:noWrap w:val="0"/>
            <w:vAlign w:val="center"/>
          </w:tcPr>
          <w:p w14:paraId="41FA4D44">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default"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不予采纳</w:t>
            </w:r>
          </w:p>
        </w:tc>
        <w:tc>
          <w:tcPr>
            <w:tcW w:w="6329" w:type="dxa"/>
            <w:noWrap w:val="0"/>
            <w:vAlign w:val="top"/>
          </w:tcPr>
          <w:p w14:paraId="6F6D1D79">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eastAsia"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1.“文明养犬正向引导与激励”</w:t>
            </w:r>
            <w:r>
              <w:rPr>
                <w:rFonts w:hint="eastAsia" w:ascii="仿宋_GB2312" w:hAnsi="仿宋_GB2312" w:cs="仿宋_GB2312"/>
                <w:sz w:val="20"/>
                <w:szCs w:val="20"/>
                <w:vertAlign w:val="baseline"/>
                <w:lang w:val="en-US" w:eastAsia="zh-CN"/>
              </w:rPr>
              <w:t>制度</w:t>
            </w:r>
            <w:r>
              <w:rPr>
                <w:rFonts w:hint="eastAsia" w:ascii="仿宋_GB2312" w:hAnsi="仿宋_GB2312" w:eastAsia="仿宋_GB2312" w:cs="仿宋_GB2312"/>
                <w:sz w:val="20"/>
                <w:szCs w:val="20"/>
                <w:vertAlign w:val="baseline"/>
                <w:lang w:val="en-US" w:eastAsia="zh-CN"/>
              </w:rPr>
              <w:t>不在此次修正草案相关内容之列</w:t>
            </w:r>
            <w:r>
              <w:rPr>
                <w:rFonts w:hint="eastAsia" w:ascii="仿宋_GB2312" w:hAnsi="仿宋_GB2312" w:cs="仿宋_GB2312"/>
                <w:sz w:val="20"/>
                <w:szCs w:val="20"/>
                <w:vertAlign w:val="baseline"/>
                <w:lang w:val="en-US" w:eastAsia="zh-CN"/>
              </w:rPr>
              <w:t>。</w:t>
            </w:r>
          </w:p>
          <w:p w14:paraId="0C850DBD">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2.《惠州市烈性犬名录（2024版）》</w:t>
            </w:r>
            <w:r>
              <w:rPr>
                <w:rFonts w:hint="eastAsia" w:ascii="仿宋_GB2312" w:hAnsi="仿宋_GB2312" w:cs="仿宋_GB2312"/>
                <w:sz w:val="20"/>
                <w:szCs w:val="20"/>
                <w:vertAlign w:val="baseline"/>
                <w:lang w:val="en-US" w:eastAsia="zh-CN"/>
              </w:rPr>
              <w:t>系</w:t>
            </w:r>
            <w:r>
              <w:rPr>
                <w:rFonts w:hint="eastAsia" w:ascii="仿宋_GB2312" w:hAnsi="仿宋_GB2312" w:eastAsia="仿宋_GB2312" w:cs="仿宋_GB2312"/>
                <w:sz w:val="20"/>
                <w:szCs w:val="20"/>
                <w:vertAlign w:val="baseline"/>
                <w:lang w:val="en-US" w:eastAsia="zh-CN"/>
              </w:rPr>
              <w:t>结合本地养犬管理实际，综合犬种攻击性、安全风险、社会接受度等多方面因素予以确定，名录有效期5年，</w:t>
            </w:r>
            <w:r>
              <w:rPr>
                <w:rFonts w:hint="eastAsia" w:ascii="仿宋_GB2312" w:hAnsi="仿宋_GB2312" w:cs="仿宋_GB2312"/>
                <w:sz w:val="20"/>
                <w:szCs w:val="20"/>
                <w:vertAlign w:val="baseline"/>
                <w:lang w:val="en-US" w:eastAsia="zh-CN"/>
              </w:rPr>
              <w:t>届时如需修订，将会根据有关规定，通过征求社会意见等相关程序予以修订。</w:t>
            </w:r>
          </w:p>
          <w:p w14:paraId="0F57551C">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3.</w:t>
            </w:r>
            <w:r>
              <w:rPr>
                <w:rFonts w:hint="eastAsia" w:ascii="仿宋_GB2312" w:hAnsi="仿宋_GB2312" w:cs="仿宋_GB2312"/>
                <w:sz w:val="20"/>
                <w:szCs w:val="20"/>
                <w:vertAlign w:val="baseline"/>
                <w:lang w:val="en-US" w:eastAsia="zh-CN"/>
              </w:rPr>
              <w:t>修正草案第二十六条援引《中华人民共和国治安管理处罚法》设置法律责任，该法并未涉及“分级处理与教育前置”相关内容。</w:t>
            </w:r>
          </w:p>
          <w:p w14:paraId="7DF6C111">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default" w:ascii="仿宋_GB2312" w:hAnsi="仿宋_GB2312" w:eastAsia="仿宋_GB2312" w:cs="仿宋_GB2312"/>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4.</w:t>
            </w:r>
            <w:r>
              <w:rPr>
                <w:rFonts w:hint="eastAsia" w:ascii="仿宋_GB2312" w:hAnsi="仿宋_GB2312" w:cs="仿宋_GB2312"/>
                <w:sz w:val="20"/>
                <w:szCs w:val="20"/>
                <w:vertAlign w:val="baseline"/>
                <w:lang w:val="en-US" w:eastAsia="zh-CN"/>
              </w:rPr>
              <w:t>修正草案</w:t>
            </w:r>
            <w:r>
              <w:rPr>
                <w:rFonts w:hint="eastAsia" w:ascii="仿宋_GB2312" w:hAnsi="仿宋_GB2312" w:eastAsia="仿宋_GB2312" w:cs="仿宋_GB2312"/>
                <w:sz w:val="20"/>
                <w:szCs w:val="20"/>
                <w:vertAlign w:val="baseline"/>
                <w:lang w:val="en-US" w:eastAsia="zh-CN"/>
              </w:rPr>
              <w:t>根据《中华人民共和国动物防疫法》《广东省动物防疫条例》等有关规定，增设</w:t>
            </w:r>
            <w:r>
              <w:rPr>
                <w:rFonts w:hint="eastAsia" w:ascii="仿宋_GB2312" w:hAnsi="仿宋_GB2312" w:cs="仿宋_GB2312"/>
                <w:sz w:val="20"/>
                <w:szCs w:val="20"/>
                <w:vertAlign w:val="baseline"/>
                <w:lang w:val="en-US" w:eastAsia="zh-CN"/>
              </w:rPr>
              <w:t>第二十二条关于</w:t>
            </w:r>
            <w:r>
              <w:rPr>
                <w:rFonts w:hint="eastAsia" w:ascii="仿宋_GB2312" w:hAnsi="仿宋_GB2312" w:eastAsia="仿宋_GB2312" w:cs="仿宋_GB2312"/>
                <w:sz w:val="20"/>
                <w:szCs w:val="20"/>
                <w:vertAlign w:val="baseline"/>
                <w:lang w:val="en-US" w:eastAsia="zh-CN"/>
              </w:rPr>
              <w:t>从事犬只诊疗、销售等经营活动的单位和个人无害化处理病死犬只的规定</w:t>
            </w:r>
            <w:r>
              <w:rPr>
                <w:rFonts w:hint="eastAsia" w:ascii="仿宋_GB2312" w:hAnsi="仿宋_GB2312" w:cs="仿宋_GB2312"/>
                <w:sz w:val="20"/>
                <w:szCs w:val="20"/>
                <w:vertAlign w:val="baseline"/>
                <w:lang w:val="en-US" w:eastAsia="zh-CN"/>
              </w:rPr>
              <w:t>，并援引《中华人民共和国动物防疫法》，增设第三十二条关于病死犬只违规处理的法律责任条款，以保障公众健康和公共卫生安全。</w:t>
            </w:r>
          </w:p>
          <w:p w14:paraId="1EF034DE">
            <w:pPr>
              <w:pStyle w:val="3"/>
              <w:keepNext w:val="0"/>
              <w:keepLines w:val="0"/>
              <w:pageBreakBefore w:val="0"/>
              <w:widowControl w:val="0"/>
              <w:kinsoku/>
              <w:wordWrap/>
              <w:overflowPunct/>
              <w:topLinePunct/>
              <w:autoSpaceDE/>
              <w:autoSpaceDN/>
              <w:bidi w:val="0"/>
              <w:adjustRightInd/>
              <w:snapToGrid/>
              <w:spacing w:line="440" w:lineRule="exact"/>
              <w:ind w:left="0" w:leftChars="0" w:firstLine="400" w:firstLineChars="200"/>
              <w:textAlignment w:val="auto"/>
              <w:rPr>
                <w:rFonts w:hint="default" w:ascii="Times New Roman" w:hAnsi="Times New Roman"/>
                <w:sz w:val="20"/>
                <w:szCs w:val="20"/>
                <w:vertAlign w:val="baseline"/>
                <w:lang w:val="en-US" w:eastAsia="zh-CN"/>
              </w:rPr>
            </w:pPr>
            <w:r>
              <w:rPr>
                <w:rFonts w:hint="eastAsia" w:ascii="仿宋_GB2312" w:hAnsi="仿宋_GB2312" w:eastAsia="仿宋_GB2312" w:cs="仿宋_GB2312"/>
                <w:sz w:val="20"/>
                <w:szCs w:val="20"/>
                <w:vertAlign w:val="baseline"/>
                <w:lang w:val="en-US" w:eastAsia="zh-CN"/>
              </w:rPr>
              <w:t>5.</w:t>
            </w:r>
            <w:r>
              <w:rPr>
                <w:rFonts w:hint="eastAsia" w:ascii="仿宋_GB2312" w:hAnsi="仿宋_GB2312" w:cs="仿宋_GB2312"/>
                <w:sz w:val="20"/>
                <w:szCs w:val="20"/>
                <w:vertAlign w:val="baseline"/>
                <w:lang w:val="en-US" w:eastAsia="zh-CN"/>
              </w:rPr>
              <w:t>“</w:t>
            </w:r>
            <w:r>
              <w:rPr>
                <w:rFonts w:hint="eastAsia" w:ascii="仿宋_GB2312" w:hAnsi="仿宋_GB2312" w:eastAsia="仿宋_GB2312" w:cs="仿宋_GB2312"/>
                <w:sz w:val="20"/>
                <w:szCs w:val="20"/>
                <w:vertAlign w:val="baseline"/>
                <w:lang w:val="en-US" w:eastAsia="zh-CN"/>
              </w:rPr>
              <w:t>无辜受害者先行救助与惩罚性赔偿”</w:t>
            </w:r>
            <w:r>
              <w:rPr>
                <w:rFonts w:hint="eastAsia" w:ascii="仿宋_GB2312" w:hAnsi="仿宋_GB2312" w:cs="仿宋_GB2312"/>
                <w:sz w:val="20"/>
                <w:szCs w:val="20"/>
                <w:vertAlign w:val="baseline"/>
                <w:lang w:val="en-US" w:eastAsia="zh-CN"/>
              </w:rPr>
              <w:t>相关制度</w:t>
            </w:r>
            <w:r>
              <w:rPr>
                <w:rFonts w:hint="eastAsia" w:ascii="Times New Roman" w:hAnsi="Times New Roman"/>
                <w:sz w:val="20"/>
                <w:szCs w:val="20"/>
                <w:vertAlign w:val="baseline"/>
                <w:lang w:val="en-US" w:eastAsia="zh-CN"/>
              </w:rPr>
              <w:t>不在此次修正草案相关内容之列。</w:t>
            </w:r>
          </w:p>
        </w:tc>
      </w:tr>
      <w:tr w14:paraId="17B8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14:paraId="5F50C9E2">
            <w:pPr>
              <w:pStyle w:val="3"/>
              <w:ind w:left="0" w:leftChars="0" w:firstLine="0" w:firstLineChars="0"/>
              <w:jc w:val="center"/>
              <w:rPr>
                <w:rFonts w:hint="default" w:ascii="黑体" w:hAnsi="黑体" w:eastAsia="黑体" w:cs="黑体"/>
                <w:b/>
                <w:bCs/>
                <w:sz w:val="20"/>
                <w:szCs w:val="20"/>
                <w:vertAlign w:val="baseline"/>
                <w:lang w:val="en-US" w:eastAsia="zh-CN"/>
              </w:rPr>
            </w:pPr>
            <w:r>
              <w:rPr>
                <w:rFonts w:hint="eastAsia" w:ascii="黑体" w:hAnsi="黑体" w:eastAsia="黑体" w:cs="黑体"/>
                <w:b/>
                <w:bCs/>
                <w:sz w:val="20"/>
                <w:szCs w:val="20"/>
                <w:vertAlign w:val="baseline"/>
                <w:lang w:val="en-US" w:eastAsia="zh-CN"/>
              </w:rPr>
              <w:t>6</w:t>
            </w:r>
          </w:p>
        </w:tc>
        <w:tc>
          <w:tcPr>
            <w:tcW w:w="6127" w:type="dxa"/>
            <w:noWrap w:val="0"/>
            <w:vAlign w:val="top"/>
          </w:tcPr>
          <w:p w14:paraId="6BA0DEFF">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0" w:firstLineChars="0"/>
              <w:jc w:val="both"/>
              <w:textAlignment w:val="top"/>
              <w:rPr>
                <w:rStyle w:val="10"/>
                <w:rFonts w:hint="eastAsia" w:ascii="仿宋_GB2312" w:hAnsi="仿宋_GB2312" w:eastAsia="仿宋_GB2312" w:cs="仿宋_GB2312"/>
                <w:i w:val="0"/>
                <w:iCs w:val="0"/>
                <w:sz w:val="20"/>
                <w:szCs w:val="20"/>
                <w:lang w:val="en-US" w:eastAsia="zh-CN" w:bidi="ar"/>
              </w:rPr>
            </w:pPr>
            <w:r>
              <w:rPr>
                <w:rStyle w:val="10"/>
                <w:rFonts w:hint="eastAsia" w:ascii="仿宋_GB2312" w:hAnsi="仿宋_GB2312" w:eastAsia="仿宋_GB2312" w:cs="仿宋_GB2312"/>
                <w:i w:val="0"/>
                <w:iCs w:val="0"/>
                <w:sz w:val="20"/>
                <w:szCs w:val="20"/>
                <w:lang w:val="en-US" w:eastAsia="zh-CN" w:bidi="ar"/>
              </w:rPr>
              <w:t>您好：</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我对《惠州市养犬管理条例（修正草案）》（征求意见稿）有以下修改意见。</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应在第十六条增加【养犬数量限制】的条款，如</w:t>
            </w:r>
            <w:r>
              <w:rPr>
                <w:rStyle w:val="10"/>
                <w:rFonts w:hint="eastAsia" w:ascii="仿宋_GB2312" w:hAnsi="仿宋_GB2312" w:cs="仿宋_GB2312"/>
                <w:i w:val="0"/>
                <w:iCs w:val="0"/>
                <w:sz w:val="20"/>
                <w:szCs w:val="20"/>
                <w:lang w:val="en-US" w:eastAsia="zh-CN" w:bidi="ar"/>
              </w:rPr>
              <w:t>“</w:t>
            </w:r>
            <w:r>
              <w:rPr>
                <w:rStyle w:val="10"/>
                <w:rFonts w:hint="eastAsia" w:ascii="仿宋_GB2312" w:hAnsi="仿宋_GB2312" w:eastAsia="仿宋_GB2312" w:cs="仿宋_GB2312"/>
                <w:i w:val="0"/>
                <w:iCs w:val="0"/>
                <w:sz w:val="20"/>
                <w:szCs w:val="20"/>
                <w:lang w:val="en-US" w:eastAsia="zh-CN" w:bidi="ar"/>
              </w:rPr>
              <w:t>重点管理区内个人饲养犬只，每户限养一只。</w:t>
            </w:r>
            <w:r>
              <w:rPr>
                <w:rStyle w:val="10"/>
                <w:rFonts w:hint="eastAsia" w:ascii="仿宋_GB2312" w:hAnsi="仿宋_GB2312" w:cs="仿宋_GB2312"/>
                <w:i w:val="0"/>
                <w:iCs w:val="0"/>
                <w:sz w:val="20"/>
                <w:szCs w:val="20"/>
                <w:lang w:val="en-US" w:eastAsia="zh-CN" w:bidi="ar"/>
              </w:rPr>
              <w:t>”</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【立法依据】</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《中华人民共和国民法典》（2020年）</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第一千二百五十一条 饲养动物应当遵守法律法规，尊重社会公德，不得妨碍他人生活。</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《中华人民共和国治安管理处罚法》（2025年修订）</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第八十九条第二款 违反有关法律、法规、规章规定，出售、饲养烈性犬等危险动物的，处警告；警告后不改正的，或者致使动物伤害他人的，处五日以下拘留或者一千元以下罚款；情节较重的，处五日以上十日以下拘留。</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（注：虽本条主要针对烈性犬，但“一户多犬”在空间拥挤、资源有限的重点管理区极易升级为“妨碍他人生活”及“危险”状态，符合本法立法精神。）</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【立法参考】</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《连云港市养犬管理条例》（2025年4月1日施行）</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第十四条第一款 重点管理区内个人养犬的，每户限养一只。</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第十四条第三款 本条例施行前已饲养的超出限养数量的非烈性犬，已经办理登记的，可以继续饲养，但应当自本条例施行之日起六个月内取得养犬登记证明。</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法律责任：第三十八条 违反第十四条第一款规定，重点管理区内饲养犬只超过限养数量的，由公安机关责令养犬人限期改正；逾期不改正的，处二百元以上二千元以下罚款，并督促养犬人在规定的期限内改正；逾期仍不改正的，没收超过限养数量的犬只。</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《重庆市南川区人民政府关于加强养犬管理的通告》（2024年）</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二、重点管理区内个人养犬的，每户可以饲养一只；自登记之日起一年内无违法养犬行为记录的，可以申请再饲养一只，但饲养总数不得超过两只。</w:t>
            </w:r>
          </w:p>
          <w:p w14:paraId="5676F43A">
            <w:pPr>
              <w:keepNext w:val="0"/>
              <w:keepLines/>
              <w:pageBreakBefore w:val="0"/>
              <w:widowControl w:val="0"/>
              <w:suppressLineNumbers w:val="0"/>
              <w:kinsoku/>
              <w:wordWrap/>
              <w:overflowPunct/>
              <w:topLinePunct/>
              <w:autoSpaceDE/>
              <w:autoSpaceDN/>
              <w:bidi w:val="0"/>
              <w:adjustRightInd/>
              <w:snapToGrid/>
              <w:spacing w:line="400" w:lineRule="exact"/>
              <w:ind w:left="0" w:leftChars="0" w:firstLine="0" w:firstLineChars="0"/>
              <w:jc w:val="both"/>
              <w:textAlignment w:val="top"/>
              <w:rPr>
                <w:rFonts w:hint="eastAsia" w:ascii="Times New Roman" w:hAnsi="Times New Roman"/>
                <w:sz w:val="20"/>
                <w:szCs w:val="20"/>
                <w:vertAlign w:val="baseline"/>
                <w:lang w:val="en-US" w:eastAsia="zh-CN"/>
              </w:rPr>
            </w:pPr>
            <w:r>
              <w:rPr>
                <w:rStyle w:val="10"/>
                <w:rFonts w:hint="eastAsia" w:ascii="仿宋_GB2312" w:hAnsi="仿宋_GB2312" w:eastAsia="仿宋_GB2312" w:cs="仿宋_GB2312"/>
                <w:i w:val="0"/>
                <w:iCs w:val="0"/>
                <w:sz w:val="20"/>
                <w:szCs w:val="20"/>
                <w:lang w:val="en-US" w:eastAsia="zh-CN" w:bidi="ar"/>
              </w:rPr>
              <w:t>《宿迁市养犬管理条例》（2024年）</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第九条 个人在重点管理区内饲养犬只的，每户限养一只，提倡饲养绝育犬；在一般管理区内饲养大型犬、烈性犬的，应当实行拴养或者圈养。重点管理区内准养的犬只繁殖幼犬的，养犬人应当在幼犬出生之日起九十日内将超出限养数量的犬只自行妥善处置或者送交犬只留检机构</w:t>
            </w:r>
            <w:r>
              <w:rPr>
                <w:rStyle w:val="10"/>
                <w:rFonts w:hint="eastAsia" w:ascii="仿宋_GB2312" w:hAnsi="仿宋_GB2312" w:cs="仿宋_GB2312"/>
                <w:i w:val="0"/>
                <w:iCs w:val="0"/>
                <w:sz w:val="20"/>
                <w:szCs w:val="20"/>
                <w:lang w:val="en-US" w:eastAsia="zh-CN" w:bidi="ar"/>
              </w:rPr>
              <w:t>。</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《辽宁省养犬管理规定》（2014年）</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第十四条 禁止饲养烈性犬、大型犬。在养犬一般管理区内，经登记可以饲养烈性犬、大型犬。个人在养犬重点管理区内养犬的，每户限养一只。单位准养犬只数量由登记机关根据其场所、设施等情况核定。</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《常德市养犬管理条例》（常德市，参照安乡县执行）</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严格管理区内每户限养一只犬（残疾人饲养扶助犬除外），禁止饲养、经营烈性犬和大型犬。</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《白城市城区养犬管理条例》（2025年施行）</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个人养犬以户为单位，每户限养一只，但条例施行前已饲养且不属于禁养名录的犬只不受此限。</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《荆州市养犬管理条例》（2025年施行）</w:t>
            </w:r>
            <w:r>
              <w:rPr>
                <w:rStyle w:val="10"/>
                <w:rFonts w:hint="eastAsia" w:ascii="仿宋_GB2312" w:hAnsi="仿宋_GB2312" w:eastAsia="仿宋_GB2312" w:cs="仿宋_GB2312"/>
                <w:i w:val="0"/>
                <w:iCs w:val="0"/>
                <w:sz w:val="20"/>
                <w:szCs w:val="20"/>
                <w:lang w:val="en-US" w:eastAsia="zh-CN" w:bidi="ar"/>
              </w:rPr>
              <w:br w:type="textWrapping"/>
            </w:r>
            <w:r>
              <w:rPr>
                <w:rStyle w:val="10"/>
                <w:rFonts w:hint="eastAsia" w:ascii="仿宋_GB2312" w:hAnsi="仿宋_GB2312" w:eastAsia="仿宋_GB2312" w:cs="仿宋_GB2312"/>
                <w:i w:val="0"/>
                <w:iCs w:val="0"/>
                <w:sz w:val="20"/>
                <w:szCs w:val="20"/>
                <w:lang w:val="en-US" w:eastAsia="zh-CN" w:bidi="ar"/>
              </w:rPr>
              <w:t>在重点管理区内，个人饲养犬只每户限养一只，但条例施行前已饲养且在规定时间内办理登记的，饲养总数不超过3只。</w:t>
            </w:r>
          </w:p>
        </w:tc>
        <w:tc>
          <w:tcPr>
            <w:tcW w:w="1093" w:type="dxa"/>
            <w:noWrap w:val="0"/>
            <w:vAlign w:val="center"/>
          </w:tcPr>
          <w:p w14:paraId="65CDA580">
            <w:pPr>
              <w:pStyle w:val="3"/>
              <w:keepNext w:val="0"/>
              <w:keepLines/>
              <w:pageBreakBefore w:val="0"/>
              <w:widowControl w:val="0"/>
              <w:kinsoku/>
              <w:wordWrap/>
              <w:overflowPunct/>
              <w:topLinePunct/>
              <w:autoSpaceDE/>
              <w:autoSpaceDN/>
              <w:bidi w:val="0"/>
              <w:adjustRightInd/>
              <w:snapToGrid/>
              <w:spacing w:line="400" w:lineRule="exact"/>
              <w:ind w:left="0" w:leftChars="0" w:firstLine="0" w:firstLineChars="0"/>
              <w:jc w:val="center"/>
              <w:textAlignment w:val="auto"/>
              <w:rPr>
                <w:rFonts w:hint="default"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不予采纳</w:t>
            </w:r>
          </w:p>
        </w:tc>
        <w:tc>
          <w:tcPr>
            <w:tcW w:w="6329" w:type="dxa"/>
            <w:noWrap w:val="0"/>
            <w:vAlign w:val="top"/>
          </w:tcPr>
          <w:p w14:paraId="29C35309">
            <w:pPr>
              <w:pStyle w:val="3"/>
              <w:keepNext w:val="0"/>
              <w:keepLines w:val="0"/>
              <w:pageBreakBefore w:val="0"/>
              <w:widowControl w:val="0"/>
              <w:numPr>
                <w:ilvl w:val="0"/>
                <w:numId w:val="0"/>
              </w:numPr>
              <w:kinsoku/>
              <w:wordWrap/>
              <w:overflowPunct/>
              <w:topLinePunct/>
              <w:autoSpaceDE/>
              <w:autoSpaceDN/>
              <w:bidi w:val="0"/>
              <w:adjustRightInd/>
              <w:snapToGrid/>
              <w:spacing w:line="440" w:lineRule="exact"/>
              <w:ind w:leftChars="0" w:firstLine="400" w:firstLineChars="200"/>
              <w:textAlignment w:val="auto"/>
              <w:rPr>
                <w:rFonts w:hint="eastAsia" w:ascii="Times New Roman" w:hAnsi="Times New Roman"/>
                <w:sz w:val="20"/>
                <w:szCs w:val="20"/>
                <w:vertAlign w:val="baseline"/>
                <w:lang w:val="en-US" w:eastAsia="zh-CN"/>
              </w:rPr>
            </w:pPr>
          </w:p>
          <w:p w14:paraId="65A50DA7">
            <w:pPr>
              <w:pStyle w:val="3"/>
              <w:keepNext w:val="0"/>
              <w:keepLines w:val="0"/>
              <w:pageBreakBefore w:val="0"/>
              <w:widowControl w:val="0"/>
              <w:numPr>
                <w:ilvl w:val="0"/>
                <w:numId w:val="0"/>
              </w:numPr>
              <w:kinsoku/>
              <w:wordWrap/>
              <w:overflowPunct/>
              <w:topLinePunct/>
              <w:autoSpaceDE/>
              <w:autoSpaceDN/>
              <w:bidi w:val="0"/>
              <w:adjustRightInd/>
              <w:snapToGrid/>
              <w:spacing w:line="440" w:lineRule="exact"/>
              <w:ind w:leftChars="0" w:firstLine="400" w:firstLineChars="200"/>
              <w:textAlignment w:val="auto"/>
              <w:rPr>
                <w:rFonts w:hint="default" w:ascii="Times New Roman" w:hAnsi="Times New Roman"/>
                <w:sz w:val="20"/>
                <w:szCs w:val="20"/>
                <w:vertAlign w:val="baseline"/>
                <w:lang w:val="en-US" w:eastAsia="zh-CN"/>
              </w:rPr>
            </w:pPr>
            <w:r>
              <w:rPr>
                <w:rFonts w:hint="eastAsia" w:ascii="Times New Roman" w:hAnsi="Times New Roman"/>
                <w:sz w:val="20"/>
                <w:szCs w:val="20"/>
                <w:vertAlign w:val="baseline"/>
                <w:lang w:val="en-US" w:eastAsia="zh-CN"/>
              </w:rPr>
              <w:t>重点管理区犬只饲养数量不在此次修正草案相关内容之列。</w:t>
            </w:r>
          </w:p>
        </w:tc>
      </w:tr>
    </w:tbl>
    <w:p w14:paraId="1C1CD69E">
      <w:pPr>
        <w:pStyle w:val="3"/>
        <w:ind w:left="0" w:leftChars="0" w:firstLine="0" w:firstLineChars="0"/>
        <w:rPr>
          <w:rFonts w:hint="eastAsia"/>
          <w:sz w:val="20"/>
          <w:szCs w:val="20"/>
          <w:lang w:val="en-US" w:eastAsia="zh-CN"/>
        </w:rPr>
      </w:pPr>
    </w:p>
    <w:sectPr>
      <w:footerReference r:id="rId5" w:type="default"/>
      <w:pgSz w:w="16838" w:h="11906" w:orient="landscape"/>
      <w:pgMar w:top="1134" w:right="1134" w:bottom="1134" w:left="1134"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8623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7FF2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A7FF2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E6776"/>
    <w:rsid w:val="055636FD"/>
    <w:rsid w:val="065A7B44"/>
    <w:rsid w:val="0A7375B2"/>
    <w:rsid w:val="18DA4154"/>
    <w:rsid w:val="1DC738B3"/>
    <w:rsid w:val="1F48677A"/>
    <w:rsid w:val="284E0E06"/>
    <w:rsid w:val="29C36C1B"/>
    <w:rsid w:val="2A262829"/>
    <w:rsid w:val="2A781B3D"/>
    <w:rsid w:val="3C6B7597"/>
    <w:rsid w:val="3E6A0509"/>
    <w:rsid w:val="3E9BEF3A"/>
    <w:rsid w:val="3F6A0BCE"/>
    <w:rsid w:val="45C030B7"/>
    <w:rsid w:val="4BA56F69"/>
    <w:rsid w:val="4C5C57E5"/>
    <w:rsid w:val="4C9D2539"/>
    <w:rsid w:val="4CBD6E4F"/>
    <w:rsid w:val="533C4E6C"/>
    <w:rsid w:val="544234C4"/>
    <w:rsid w:val="552F4F1A"/>
    <w:rsid w:val="583355C2"/>
    <w:rsid w:val="5FD1A6FD"/>
    <w:rsid w:val="63D2636F"/>
    <w:rsid w:val="67486696"/>
    <w:rsid w:val="6B9C3965"/>
    <w:rsid w:val="6BFD7B53"/>
    <w:rsid w:val="722E04E1"/>
    <w:rsid w:val="73540A7E"/>
    <w:rsid w:val="73D44D72"/>
    <w:rsid w:val="745F79D2"/>
    <w:rsid w:val="77192834"/>
    <w:rsid w:val="7BD060AF"/>
    <w:rsid w:val="7EDB3231"/>
    <w:rsid w:val="A9EE7899"/>
    <w:rsid w:val="DFB43D10"/>
    <w:rsid w:val="DFDBC7B9"/>
    <w:rsid w:val="DFF74017"/>
    <w:rsid w:val="E97DA98B"/>
    <w:rsid w:val="EDE67003"/>
    <w:rsid w:val="FB9F5A4B"/>
    <w:rsid w:val="FDFB9A27"/>
    <w:rsid w:val="FFFD71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2"/>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font21"/>
    <w:basedOn w:val="8"/>
    <w:qFormat/>
    <w:uiPriority w:val="0"/>
    <w:rPr>
      <w:rFonts w:ascii="方正书宋_GBK" w:hAnsi="方正书宋_GBK" w:eastAsia="方正书宋_GBK" w:cs="方正书宋_GBK"/>
      <w:color w:val="000000"/>
      <w:sz w:val="16"/>
      <w:szCs w:val="16"/>
      <w:u w:val="none"/>
    </w:rPr>
  </w:style>
  <w:style w:type="character" w:customStyle="1" w:styleId="11">
    <w:name w:val="条例-条目"/>
    <w:qFormat/>
    <w:uiPriority w:val="0"/>
    <w:rPr>
      <w:rFonts w:ascii="黑体" w:hAnsi="Times New Roman" w:eastAsia="黑体" w:cs="Times New Roman"/>
    </w:rPr>
  </w:style>
  <w:style w:type="character" w:customStyle="1" w:styleId="12">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71bd9120-9a8e-48ee-ac54-a2c616761cb2</errorID>
      <errorWord xmlns="http://schemas.wps.cn/vas-ai-hub/contract-review">１</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1</item>
      </candidateList>
      <explain xmlns="http://schemas.wps.cn/vas-ai-hub/contract-review">文本全半角错误。</explain>
      <paraID xmlns="http://schemas.wps.cn/vas-ai-hub/contract-review">441EE926</paraID>
      <start xmlns="http://schemas.wps.cn/vas-ai-hub/contract-review">0</start>
      <end xmlns="http://schemas.wps.cn/vas-ai-hub/contract-review">1</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c470e231-be75-4aba-9989-eac5d9164c7a</errorID>
      <errorWord xmlns="http://schemas.wps.cn/vas-ai-hub/contract-review">提议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范围</item>
      </candidateList>
      <explain xmlns="http://schemas.wps.cn/vas-ai-hub/contract-review"/>
      <paraID xmlns="http://schemas.wps.cn/vas-ai-hub/contract-review">4808A1ED</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a25dd818-122b-4015-bfca-268b76238dd9</errorID>
      <errorWord xmlns="http://schemas.wps.cn/vas-ai-hub/contract-review">》文件修订名录调整</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》修订</item>
      </candidateList>
      <explain xmlns="http://schemas.wps.cn/vas-ai-hub/contract-review"/>
      <paraID xmlns="http://schemas.wps.cn/vas-ai-hub/contract-review">3F25C289</paraID>
      <start xmlns="http://schemas.wps.cn/vas-ai-hub/contract-review">210</start>
      <end xmlns="http://schemas.wps.cn/vas-ai-hub/contract-review">213</end>
      <status xmlns="http://schemas.wps.cn/vas-ai-hub/contract-review">modified</status>
      <modifiedWord xmlns="http://schemas.wps.cn/vas-ai-hub/contract-review">》修订</modifiedWord>
      <trackRevisions xmlns="http://schemas.wps.cn/vas-ai-hub/contract-review">false</trackRevisions>
    </reviewItem>
    <reviewItem xmlns="http://schemas.wps.cn/vas-ai-hub/contract-review">
      <errorID xmlns="http://schemas.wps.cn/vas-ai-hub/contract-review">7ed2b0b7-9a55-4772-b48b-b9ebc2ed93f8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3F25C289</paraID>
      <start xmlns="http://schemas.wps.cn/vas-ai-hub/contract-review">214</start>
      <end xmlns="http://schemas.wps.cn/vas-ai-hub/contract-review">215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5e7fe315-8c3a-4d92-ab48-1084cfaf9f8f</errorID>
      <errorWord xmlns="http://schemas.wps.cn/vas-ai-hub/contract-review">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将此</item>
      </candidateList>
      <explain xmlns="http://schemas.wps.cn/vas-ai-hub/contract-review"/>
      <paraID xmlns="http://schemas.wps.cn/vas-ai-hub/contract-review">3F25C289</paraID>
      <start xmlns="http://schemas.wps.cn/vas-ai-hub/contract-review">215</start>
      <end xmlns="http://schemas.wps.cn/vas-ai-hub/contract-review">217</end>
      <status xmlns="http://schemas.wps.cn/vas-ai-hub/contract-review">modified</status>
      <modifiedWord xmlns="http://schemas.wps.cn/vas-ai-hub/contract-review">将此</modifiedWord>
      <trackRevisions xmlns="http://schemas.wps.cn/vas-ai-hub/contract-review">false</trackRevisions>
    </reviewItem>
    <reviewItem xmlns="http://schemas.wps.cn/vas-ai-hub/contract-review">
      <errorID xmlns="http://schemas.wps.cn/vas-ai-hub/contract-review">b20de04b-78ba-424f-90a3-bfc3664d6492</errorID>
      <errorWord xmlns="http://schemas.wps.cn/vas-ai-hub/contract-review">２</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2</item>
      </candidateList>
      <explain xmlns="http://schemas.wps.cn/vas-ai-hub/contract-review">文本全半角错误。</explain>
      <paraID xmlns="http://schemas.wps.cn/vas-ai-hub/contract-review">1500BAD1</paraID>
      <start xmlns="http://schemas.wps.cn/vas-ai-hub/contract-review">0</start>
      <end xmlns="http://schemas.wps.cn/vas-ai-hub/contract-review">1</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7bf62ace-69a1-4fb8-843b-51db348dc5a9</errorID>
      <errorWord xmlns="http://schemas.wps.cn/vas-ai-hub/contract-review">远低于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远高于</item>
      </candidateList>
      <explain xmlns="http://schemas.wps.cn/vas-ai-hub/contract-review"/>
      <paraID xmlns="http://schemas.wps.cn/vas-ai-hub/contract-review">23A6203A</paraID>
      <start xmlns="http://schemas.wps.cn/vas-ai-hub/contract-review">101</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c3ddaf80-d212-48c5-a63b-89314bd90b91</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特点。</item>
      </candidateList>
      <explain xmlns="http://schemas.wps.cn/vas-ai-hub/contract-review"/>
      <paraID xmlns="http://schemas.wps.cn/vas-ai-hub/contract-review">68CFEA20</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85795607-bd3d-4bf4-86f3-b7644f83e5b9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68CFEA20</paraID>
      <start xmlns="http://schemas.wps.cn/vas-ai-hub/contract-review">110</start>
      <end xmlns="http://schemas.wps.cn/vas-ai-hub/contract-review">111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537e4e5a-fa9e-4f4f-97b2-244c94011f6e</errorID>
      <errorWord xmlns="http://schemas.wps.cn/vas-ai-hub/contract-review">性格</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性格特点</item>
      </candidateList>
      <explain xmlns="http://schemas.wps.cn/vas-ai-hub/contract-review"/>
      <paraID xmlns="http://schemas.wps.cn/vas-ai-hub/contract-review">68CFEA20</paraID>
      <start xmlns="http://schemas.wps.cn/vas-ai-hub/contract-review">130</start>
      <end xmlns="http://schemas.wps.cn/vas-ai-hub/contract-review">132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2a5ef6f7-cbb6-46c1-a09f-277ec97453e0</errorID>
      <errorWord xmlns="http://schemas.wps.cn/vas-ai-hub/contract-review">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上是</item>
      </candidateList>
      <explain xmlns="http://schemas.wps.cn/vas-ai-hub/contract-review"/>
      <paraID xmlns="http://schemas.wps.cn/vas-ai-hub/contract-review">67CE8D72</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22cbe966-7bee-4c66-bd51-ddbd80f782d3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，如</item>
      </candidateList>
      <explain xmlns="http://schemas.wps.cn/vas-ai-hub/contract-review"/>
      <paraID xmlns="http://schemas.wps.cn/vas-ai-hub/contract-review">67CE8D72</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178e2348-f7a9-4bc3-a232-6ba77cb82279</errorID>
      <errorWord xmlns="http://schemas.wps.cn/vas-ai-hub/contract-review">已</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，已</item>
      </candidateList>
      <explain xmlns="http://schemas.wps.cn/vas-ai-hub/contract-review"/>
      <paraID xmlns="http://schemas.wps.cn/vas-ai-hub/contract-review">139DF35A</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4754186e-cc12-4bf8-93a8-32504429f63d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139DF35A</paraID>
      <start xmlns="http://schemas.wps.cn/vas-ai-hub/contract-review">186</start>
      <end xmlns="http://schemas.wps.cn/vas-ai-hub/contract-review">187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d1356ece-66ba-48fc-b81d-20c024e0beba</errorID>
      <errorWord xmlns="http://schemas.wps.cn/vas-ai-hub/contract-review">修订名录调整</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修订</item>
      </candidateList>
      <explain xmlns="http://schemas.wps.cn/vas-ai-hub/contract-review"/>
      <paraID xmlns="http://schemas.wps.cn/vas-ai-hub/contract-review">139DF35A</paraID>
      <start xmlns="http://schemas.wps.cn/vas-ai-hub/contract-review">213</start>
      <end xmlns="http://schemas.wps.cn/vas-ai-hub/contract-review">215</end>
      <status xmlns="http://schemas.wps.cn/vas-ai-hub/contract-review">modified</status>
      <modifiedWord xmlns="http://schemas.wps.cn/vas-ai-hub/contract-review">修订</modifiedWord>
      <trackRevisions xmlns="http://schemas.wps.cn/vas-ai-hub/contract-review">false</trackRevisions>
    </reviewItem>
    <reviewItem xmlns="http://schemas.wps.cn/vas-ai-hub/contract-review">
      <errorID xmlns="http://schemas.wps.cn/vas-ai-hub/contract-review">978dcd55-e650-4b9d-b03e-c692f40a45e7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139DF35A</paraID>
      <start xmlns="http://schemas.wps.cn/vas-ai-hub/contract-review">216</start>
      <end xmlns="http://schemas.wps.cn/vas-ai-hub/contract-review">217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189be2f3-15b0-475e-9a16-f1ea181470ae</errorID>
      <errorWord xmlns="http://schemas.wps.cn/vas-ai-hub/contract-review">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将此</item>
      </candidateList>
      <explain xmlns="http://schemas.wps.cn/vas-ai-hub/contract-review"/>
      <paraID xmlns="http://schemas.wps.cn/vas-ai-hub/contract-review">139DF35A</paraID>
      <start xmlns="http://schemas.wps.cn/vas-ai-hub/contract-review">217</start>
      <end xmlns="http://schemas.wps.cn/vas-ai-hub/contract-review">219</end>
      <status xmlns="http://schemas.wps.cn/vas-ai-hub/contract-review">modified</status>
      <modifiedWord xmlns="http://schemas.wps.cn/vas-ai-hub/contract-review">将此</modifiedWord>
      <trackRevisions xmlns="http://schemas.wps.cn/vas-ai-hub/contract-review">false</trackRevisions>
    </reviewItem>
    <reviewItem xmlns="http://schemas.wps.cn/vas-ai-hub/contract-review">
      <errorID xmlns="http://schemas.wps.cn/vas-ai-hub/contract-review">52fc92d9-bcdd-4e58-b118-cbe2a1c43e11</errorID>
      <errorWord xmlns="http://schemas.wps.cn/vas-ai-hub/contract-review">３</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3</item>
      </candidateList>
      <explain xmlns="http://schemas.wps.cn/vas-ai-hub/contract-review">文本全半角错误。</explain>
      <paraID xmlns="http://schemas.wps.cn/vas-ai-hub/contract-review">76755D9E</paraID>
      <start xmlns="http://schemas.wps.cn/vas-ai-hub/contract-review">0</start>
      <end xmlns="http://schemas.wps.cn/vas-ai-hub/contract-review">1</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37592b2c-cf2b-4efd-83a7-11b9f4fbec92</errorID>
      <errorWord xmlns="http://schemas.wps.cn/vas-ai-hub/contract-review">我市</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。我市</item>
      </candidateList>
      <explain xmlns="http://schemas.wps.cn/vas-ai-hub/contract-review"/>
      <paraID xmlns="http://schemas.wps.cn/vas-ai-hub/contract-review">442D9C33</paraID>
      <start xmlns="http://schemas.wps.cn/vas-ai-hub/contract-review">83</start>
      <end xmlns="http://schemas.wps.cn/vas-ai-hub/contract-review">86</end>
      <status xmlns="http://schemas.wps.cn/vas-ai-hub/contract-review">modified</status>
      <modifiedWord xmlns="http://schemas.wps.cn/vas-ai-hub/contract-review">。我市</modifiedWord>
      <trackRevisions xmlns="http://schemas.wps.cn/vas-ai-hub/contract-review">false</trackRevisions>
    </reviewItem>
    <reviewItem xmlns="http://schemas.wps.cn/vas-ai-hub/contract-review">
      <errorID xmlns="http://schemas.wps.cn/vas-ai-hub/contract-review">70748f6f-28f1-489c-ace3-330aeadeb28c</errorID>
      <errorWord xmlns="http://schemas.wps.cn/vas-ai-hub/contract-review">治安管理处罚法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中华人民共和国治安管理处罚法</item>
      </candidateList>
      <explain xmlns="http://schemas.wps.cn/vas-ai-hub/contract-review">当前法律法规名称使用简称，请注意是否应当使用全称。</explain>
      <paraID xmlns="http://schemas.wps.cn/vas-ai-hub/contract-review">442D9C33</paraID>
      <start xmlns="http://schemas.wps.cn/vas-ai-hub/contract-review">443</start>
      <end xmlns="http://schemas.wps.cn/vas-ai-hub/contract-review">450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f93bc3c3-97d5-4227-bca9-87342f5edf85</errorID>
      <errorWord xmlns="http://schemas.wps.cn/vas-ai-hub/contract-review">100—150亿</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100亿—150亿</item>
      </candidateList>
      <explain xmlns="http://schemas.wps.cn/vas-ai-hub/contract-review">1. “100—150亿”中的单位“亿”仅出现在后一个数字上，容易引起歧义；根据《现代汉语标点符号数字用法规范手册》，数字表示范围两边需要使用统一的格式。2.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442D9C33</paraID>
      <start xmlns="http://schemas.wps.cn/vas-ai-hub/contract-review">926</start>
      <end xmlns="http://schemas.wps.cn/vas-ai-hub/contract-review">934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5f76add9-1bf6-4656-a4f7-0ba6db9de081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442D9C33</paraID>
      <start xmlns="http://schemas.wps.cn/vas-ai-hub/contract-review">982</start>
      <end xmlns="http://schemas.wps.cn/vas-ai-hub/contract-review">983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a9a346c8-c306-4ce9-8376-025d18af503b</errorID>
      <errorWord xmlns="http://schemas.wps.cn/vas-ai-hub/contract-review">(深圳市知识产权局)】</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（深圳市知识产权局））</item>
      </candidateList>
      <explain xmlns="http://schemas.wps.cn/vas-ai-hub/contract-review">此处内容疑似含有固定表述相关错误，建议核查。</explain>
      <paraID xmlns="http://schemas.wps.cn/vas-ai-hub/contract-review">442D9C33</paraID>
      <start xmlns="http://schemas.wps.cn/vas-ai-hub/contract-review">993</start>
      <end xmlns="http://schemas.wps.cn/vas-ai-hub/contract-review">1004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6531b592-4b17-414b-b5d5-e463ee5b6516</errorID>
      <errorWord xmlns="http://schemas.wps.cn/vas-ai-hub/contract-review">江苏省人民政府</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（江苏省人民政府）</item>
      </candidateList>
      <explain xmlns="http://schemas.wps.cn/vas-ai-hub/contract-review"/>
      <paraID xmlns="http://schemas.wps.cn/vas-ai-hub/contract-review">442D9C33</paraID>
      <start xmlns="http://schemas.wps.cn/vas-ai-hub/contract-review">1102</start>
      <end xmlns="http://schemas.wps.cn/vas-ai-hub/contract-review">1109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8f65d3af-ab3f-4d55-8a8b-8481836a064b</errorID>
      <errorWord xmlns="http://schemas.wps.cn/vas-ai-hub/contract-review">》文件修订名录调整</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》修订</item>
      </candidateList>
      <explain xmlns="http://schemas.wps.cn/vas-ai-hub/contract-review"/>
      <paraID xmlns="http://schemas.wps.cn/vas-ai-hub/contract-review">1BB19852</paraID>
      <start xmlns="http://schemas.wps.cn/vas-ai-hub/contract-review">210</start>
      <end xmlns="http://schemas.wps.cn/vas-ai-hub/contract-review">213</end>
      <status xmlns="http://schemas.wps.cn/vas-ai-hub/contract-review">modified</status>
      <modifiedWord xmlns="http://schemas.wps.cn/vas-ai-hub/contract-review">》修订</modifiedWord>
      <trackRevisions xmlns="http://schemas.wps.cn/vas-ai-hub/contract-review">false</trackRevisions>
    </reviewItem>
    <reviewItem xmlns="http://schemas.wps.cn/vas-ai-hub/contract-review">
      <errorID xmlns="http://schemas.wps.cn/vas-ai-hub/contract-review">68be1fb8-e266-407d-82f7-31e867b8c35b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1BB19852</paraID>
      <start xmlns="http://schemas.wps.cn/vas-ai-hub/contract-review">214</start>
      <end xmlns="http://schemas.wps.cn/vas-ai-hub/contract-review">215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7e99cd26-ef95-49c4-9111-f537fbc43aa8</errorID>
      <errorWord xmlns="http://schemas.wps.cn/vas-ai-hub/contract-review">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将此</item>
      </candidateList>
      <explain xmlns="http://schemas.wps.cn/vas-ai-hub/contract-review"/>
      <paraID xmlns="http://schemas.wps.cn/vas-ai-hub/contract-review">1BB19852</paraID>
      <start xmlns="http://schemas.wps.cn/vas-ai-hub/contract-review">215</start>
      <end xmlns="http://schemas.wps.cn/vas-ai-hub/contract-review">217</end>
      <status xmlns="http://schemas.wps.cn/vas-ai-hub/contract-review">modified</status>
      <modifiedWord xmlns="http://schemas.wps.cn/vas-ai-hub/contract-review">将此</modifiedWord>
      <trackRevisions xmlns="http://schemas.wps.cn/vas-ai-hub/contract-review">false</trackRevisions>
    </reviewItem>
    <reviewItem xmlns="http://schemas.wps.cn/vas-ai-hub/contract-review">
      <errorID xmlns="http://schemas.wps.cn/vas-ai-hub/contract-review">8440b8bb-b0f8-449d-9c52-36a1ce400381</errorID>
      <errorWord xmlns="http://schemas.wps.cn/vas-ai-hub/contract-review">４</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4</item>
      </candidateList>
      <explain xmlns="http://schemas.wps.cn/vas-ai-hub/contract-review">文本全半角错误。</explain>
      <paraID xmlns="http://schemas.wps.cn/vas-ai-hub/contract-review">3C97CCE7</paraID>
      <start xmlns="http://schemas.wps.cn/vas-ai-hub/contract-review">0</start>
      <end xmlns="http://schemas.wps.cn/vas-ai-hub/contract-review">1</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2f99b7e5-f3ca-4a55-b554-631c6d6ed78e</errorID>
      <errorWord xmlns="http://schemas.wps.cn/vas-ai-hub/contract-review">我市</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。我市</item>
      </candidateList>
      <explain xmlns="http://schemas.wps.cn/vas-ai-hub/contract-review"/>
      <paraID xmlns="http://schemas.wps.cn/vas-ai-hub/contract-review"> 256305E</paraID>
      <start xmlns="http://schemas.wps.cn/vas-ai-hub/contract-review">83</start>
      <end xmlns="http://schemas.wps.cn/vas-ai-hub/contract-review">86</end>
      <status xmlns="http://schemas.wps.cn/vas-ai-hub/contract-review">modified</status>
      <modifiedWord xmlns="http://schemas.wps.cn/vas-ai-hub/contract-review">。我市</modifiedWord>
      <trackRevisions xmlns="http://schemas.wps.cn/vas-ai-hub/contract-review">false</trackRevisions>
    </reviewItem>
    <reviewItem xmlns="http://schemas.wps.cn/vas-ai-hub/contract-review">
      <errorID xmlns="http://schemas.wps.cn/vas-ai-hub/contract-review">dbadbe20-4dce-4c4b-87f0-835773a0dd3e</errorID>
      <errorWord xmlns="http://schemas.wps.cn/vas-ai-hub/contract-review">治安管理处罚法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中华人民共和国治安管理处罚法</item>
      </candidateList>
      <explain xmlns="http://schemas.wps.cn/vas-ai-hub/contract-review">当前法律法规名称使用简称，请注意是否应当使用全称。</explain>
      <paraID xmlns="http://schemas.wps.cn/vas-ai-hub/contract-review"> 256305E</paraID>
      <start xmlns="http://schemas.wps.cn/vas-ai-hub/contract-review">443</start>
      <end xmlns="http://schemas.wps.cn/vas-ai-hub/contract-review">450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cb0a1ff0-e0b9-4f7f-9540-37e68c60f66c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256305E</paraID>
      <start xmlns="http://schemas.wps.cn/vas-ai-hub/contract-review">834</start>
      <end xmlns="http://schemas.wps.cn/vas-ai-hub/contract-review">835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47454005-2ca3-4b47-b200-207a3c0f8716</errorID>
      <errorWord xmlns="http://schemas.wps.cn/vas-ai-hub/contract-review">100—150亿</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100亿—150亿</item>
      </candidateList>
      <explain xmlns="http://schemas.wps.cn/vas-ai-hub/contract-review">1. “100—150亿”中的单位“亿”仅出现在后一个数字上，容易引起歧义；根据《现代汉语标点符号数字用法规范手册》，数字表示范围两边需要使用统一的格式。2.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256305E</paraID>
      <start xmlns="http://schemas.wps.cn/vas-ai-hub/contract-review">926</start>
      <end xmlns="http://schemas.wps.cn/vas-ai-hub/contract-review">934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6edaa354-fed5-4270-8e1f-01f7a7cd1633</errorID>
      <errorWord xmlns="http://schemas.wps.cn/vas-ai-hub/contract-review">【深圳市市场监督管理局（深圳市知识产权局）】</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（深圳市市场监督管理局（深圳市知识产权局））</item>
      </candidateList>
      <explain xmlns="http://schemas.wps.cn/vas-ai-hub/contract-review">此处内容疑似含有固定表述相关错误，建议核查。</explain>
      <paraID xmlns="http://schemas.wps.cn/vas-ai-hub/contract-review"> 256305E</paraID>
      <start xmlns="http://schemas.wps.cn/vas-ai-hub/contract-review">982</start>
      <end xmlns="http://schemas.wps.cn/vas-ai-hub/contract-review">1004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673f6b81-8fc4-4573-b309-35649da03748</errorID>
      <errorWord xmlns="http://schemas.wps.cn/vas-ai-hub/contract-review">%江苏省人民政府</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 256305E</paraID>
      <start xmlns="http://schemas.wps.cn/vas-ai-hub/contract-review">1101</start>
      <end xmlns="http://schemas.wps.cn/vas-ai-hub/contract-review">1109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a75e441e-6012-4a1b-8fbf-74398d9aea03</errorID>
      <errorWord xmlns="http://schemas.wps.cn/vas-ai-hub/contract-review">修订名录调整</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修订</item>
      </candidateList>
      <explain xmlns="http://schemas.wps.cn/vas-ai-hub/contract-review"/>
      <paraID xmlns="http://schemas.wps.cn/vas-ai-hub/contract-review">26519755</paraID>
      <start xmlns="http://schemas.wps.cn/vas-ai-hub/contract-review">213</start>
      <end xmlns="http://schemas.wps.cn/vas-ai-hub/contract-review">215</end>
      <status xmlns="http://schemas.wps.cn/vas-ai-hub/contract-review">modified</status>
      <modifiedWord xmlns="http://schemas.wps.cn/vas-ai-hub/contract-review">修订</modifiedWord>
      <trackRevisions xmlns="http://schemas.wps.cn/vas-ai-hub/contract-review">false</trackRevisions>
    </reviewItem>
    <reviewItem xmlns="http://schemas.wps.cn/vas-ai-hub/contract-review">
      <errorID xmlns="http://schemas.wps.cn/vas-ai-hub/contract-review">6f2af471-069c-4fde-9c9b-2cccc5891639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26519755</paraID>
      <start xmlns="http://schemas.wps.cn/vas-ai-hub/contract-review">216</start>
      <end xmlns="http://schemas.wps.cn/vas-ai-hub/contract-review">217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15b25433-76e7-4582-a7de-8139f6aa3b07</errorID>
      <errorWord xmlns="http://schemas.wps.cn/vas-ai-hub/contract-review">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将此</item>
      </candidateList>
      <explain xmlns="http://schemas.wps.cn/vas-ai-hub/contract-review"/>
      <paraID xmlns="http://schemas.wps.cn/vas-ai-hub/contract-review">26519755</paraID>
      <start xmlns="http://schemas.wps.cn/vas-ai-hub/contract-review">217</start>
      <end xmlns="http://schemas.wps.cn/vas-ai-hub/contract-review">219</end>
      <status xmlns="http://schemas.wps.cn/vas-ai-hub/contract-review">modified</status>
      <modifiedWord xmlns="http://schemas.wps.cn/vas-ai-hub/contract-review">将此</modifiedWord>
      <trackRevisions xmlns="http://schemas.wps.cn/vas-ai-hub/contract-review">false</trackRevisions>
    </reviewItem>
    <reviewItem xmlns="http://schemas.wps.cn/vas-ai-hub/contract-review">
      <errorID xmlns="http://schemas.wps.cn/vas-ai-hub/contract-review">b688dc24-6044-458c-bcfc-252184a29891</errorID>
      <errorWord xmlns="http://schemas.wps.cn/vas-ai-hub/contract-review">５</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5</item>
      </candidateList>
      <explain xmlns="http://schemas.wps.cn/vas-ai-hub/contract-review">文本全半角错误。</explain>
      <paraID xmlns="http://schemas.wps.cn/vas-ai-hub/contract-review">24BCDCD6</paraID>
      <start xmlns="http://schemas.wps.cn/vas-ai-hub/contract-review">0</start>
      <end xmlns="http://schemas.wps.cn/vas-ai-hub/contract-review">1</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c3bd8e9c-24a8-4d7c-aaee-c163d61814bd</errorID>
      <errorWord xmlns="http://schemas.wps.cn/vas-ai-hub/contract-review">治安管理处罚法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中华人民共和国治安管理处罚法</item>
      </candidateList>
      <explain xmlns="http://schemas.wps.cn/vas-ai-hub/contract-review">当前法律法规名称使用简称，请注意是否应当使用全称。</explain>
      <paraID xmlns="http://schemas.wps.cn/vas-ai-hub/contract-review">7EA188DB</paraID>
      <start xmlns="http://schemas.wps.cn/vas-ai-hub/contract-review">1249</start>
      <end xmlns="http://schemas.wps.cn/vas-ai-hub/contract-review">1256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9d1a685f-dfaf-4fca-8463-def45b1d41da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7EA188DB</paraID>
      <start xmlns="http://schemas.wps.cn/vas-ai-hub/contract-review">1759</start>
      <end xmlns="http://schemas.wps.cn/vas-ai-hub/contract-review">1760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6eeadbeb-9482-4087-baa6-7b1c66babfa7</errorID>
      <errorWord xmlns="http://schemas.wps.cn/vas-ai-hub/contract-review">《民法典》</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《中华人民共和国民法典》</item>
      </candidateList>
      <explain xmlns="http://schemas.wps.cn/vas-ai-hub/contract-review"/>
      <paraID xmlns="http://schemas.wps.cn/vas-ai-hub/contract-review">7EA188DB</paraID>
      <start xmlns="http://schemas.wps.cn/vas-ai-hub/contract-review">1927</start>
      <end xmlns="http://schemas.wps.cn/vas-ai-hub/contract-review">1932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d34bb228-5481-47fa-8e7b-783fa9866b0b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，才</item>
      </candidateList>
      <explain xmlns="http://schemas.wps.cn/vas-ai-hub/contract-review"/>
      <paraID xmlns="http://schemas.wps.cn/vas-ai-hub/contract-review">7EA188DB</paraID>
      <start xmlns="http://schemas.wps.cn/vas-ai-hub/contract-review">1968</start>
      <end xmlns="http://schemas.wps.cn/vas-ai-hub/contract-review">1969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2b770aa5-afd5-49bd-b940-41cb80f501b9</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6BA0DEFF</paraID>
      <start xmlns="http://schemas.wps.cn/vas-ai-hub/contract-review">189</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e3fc4a60-a6fd-40b5-bfd1-b03ea46e9277</errorID>
      <errorWord xmlns="http://schemas.wps.cn/vas-ai-hub/contract-review">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虽然</item>
      </candidateList>
      <explain xmlns="http://schemas.wps.cn/vas-ai-hub/contract-review"/>
      <paraID xmlns="http://schemas.wps.cn/vas-ai-hub/contract-review">6BA0DEFF</paraID>
      <start xmlns="http://schemas.wps.cn/vas-ai-hub/contract-review">278</start>
      <end xmlns="http://schemas.wps.cn/vas-ai-hub/contract-review">279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09755762-d861-4edb-8c84-570723414f32</errorID>
      <errorWord xmlns="http://schemas.wps.cn/vas-ai-hub/contract-review">月1日施行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月1日起施行</item>
      </candidateList>
      <explain xmlns="http://schemas.wps.cn/vas-ai-hub/contract-review"/>
      <paraID xmlns="http://schemas.wps.cn/vas-ai-hub/contract-review">6BA0DEFF</paraID>
      <start xmlns="http://schemas.wps.cn/vas-ai-hub/contract-review">371</start>
      <end xmlns="http://schemas.wps.cn/vas-ai-hub/contract-review">376</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26c4f7-3547-41b9-ac3f-df8d861c81ed}">
  <ds:schemaRefs/>
</ds:datastoreItem>
</file>

<file path=docProps/app.xml><?xml version="1.0" encoding="utf-8"?>
<Properties xmlns="http://schemas.openxmlformats.org/officeDocument/2006/extended-properties" xmlns:vt="http://schemas.openxmlformats.org/officeDocument/2006/docPropsVTypes">
  <Template>Normal.dotm</Template>
  <Pages>16</Pages>
  <Words>9647</Words>
  <Characters>9793</Characters>
  <Lines>0</Lines>
  <Paragraphs>0</Paragraphs>
  <TotalTime>0</TotalTime>
  <ScaleCrop>false</ScaleCrop>
  <LinksUpToDate>false</LinksUpToDate>
  <CharactersWithSpaces>9800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2026-01-01T11:05:00Z</dcterms:created>
  <dc:creator>Administrator</dc:creator>
  <cp:lastModifiedBy>momo</cp:lastModifiedBy>
  <dcterms:modified xsi:type="dcterms:W3CDTF">2026-06-09T08:00:01Z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2620372B4E3D41C6B924CBD0097651C0_13</vt:lpwstr>
  </property>
  <property fmtid="{D5CDD505-2E9C-101B-9397-08002B2CF9AE}" pid="4" name="KSOTemplateDocerSaveRecord">
    <vt:lpwstr>eyJoZGlkIjoiZTQ4MjAwZGI0NmM3Y2M0Y2M2MjQ2MmE1NDFkMjlhMjYiLCJ1c2VySWQiOiIxMTUyNjY1NDczIn0=</vt:lpwstr>
  </property>
</Properties>
</file>