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r>
        <w:br w:type="textWrapping"/>
      </w:r>
      <w:r>
        <w:br w:type="textWrapping"/>
      </w:r>
      <w:r>
        <w:br w:type="textWrapping"/>
      </w:r>
      <w:r>
        <w:br w:type="textWrapping"/>
      </w:r>
      <w:r>
        <w:br w:type="textWrapping"/>
      </w:r>
    </w:p>
    <w:p>
      <w:pPr>
        <w:pStyle w:val="4"/>
        <w:jc w:val="center"/>
        <w:outlineLvl w:val="0"/>
      </w:pPr>
      <w:r>
        <w:rPr>
          <w:b/>
          <w:sz w:val="48"/>
        </w:rPr>
        <w:t>广东省政府采购</w:t>
      </w:r>
    </w:p>
    <w:p>
      <w:pPr>
        <w:pStyle w:val="4"/>
      </w:pPr>
      <w:r>
        <w:t>　</w:t>
      </w:r>
    </w:p>
    <w:p>
      <w:pPr>
        <w:pStyle w:val="4"/>
      </w:pPr>
      <w:r>
        <w:t>　</w:t>
      </w:r>
    </w:p>
    <w:p>
      <w:pPr>
        <w:pStyle w:val="4"/>
      </w:pPr>
      <w:r>
        <w:t>　</w:t>
      </w:r>
    </w:p>
    <w:p>
      <w:pPr>
        <w:pStyle w:val="4"/>
        <w:jc w:val="center"/>
        <w:outlineLvl w:val="0"/>
      </w:pPr>
      <w:r>
        <w:rPr>
          <w:b/>
          <w:sz w:val="48"/>
        </w:rPr>
        <w:t xml:space="preserve"> 公开招标文件</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pPr>
        <w:pStyle w:val="4"/>
        <w:jc w:val="center"/>
        <w:outlineLvl w:val="3"/>
      </w:pPr>
      <w:r>
        <w:rPr>
          <w:b/>
          <w:sz w:val="24"/>
        </w:rPr>
        <w:t>采购计划编号：441302-2025-00548</w:t>
      </w:r>
    </w:p>
    <w:p>
      <w:pPr>
        <w:pStyle w:val="4"/>
        <w:jc w:val="center"/>
        <w:outlineLvl w:val="3"/>
      </w:pPr>
      <w:r>
        <w:rPr>
          <w:b/>
          <w:sz w:val="24"/>
        </w:rPr>
        <w:t>采购项目编号：惠公易省云采惠城〔2025〕002号</w:t>
      </w:r>
    </w:p>
    <w:p>
      <w:pPr>
        <w:pStyle w:val="4"/>
        <w:jc w:val="center"/>
        <w:outlineLvl w:val="3"/>
      </w:pPr>
      <w:r>
        <w:rPr>
          <w:b/>
          <w:sz w:val="24"/>
        </w:rPr>
        <w:t>项目名称：惠州市第二妇幼保健院HIS系统升级改造项目</w:t>
      </w:r>
    </w:p>
    <w:p>
      <w:pPr>
        <w:pStyle w:val="4"/>
        <w:jc w:val="center"/>
        <w:outlineLvl w:val="3"/>
      </w:pPr>
      <w:r>
        <w:rPr>
          <w:b/>
          <w:sz w:val="24"/>
        </w:rPr>
        <w:t>采购人：惠州市第二妇幼保健院</w:t>
      </w:r>
    </w:p>
    <w:p>
      <w:pPr>
        <w:pStyle w:val="4"/>
        <w:jc w:val="center"/>
        <w:outlineLvl w:val="3"/>
      </w:pPr>
      <w:r>
        <w:rPr>
          <w:b/>
          <w:sz w:val="24"/>
        </w:rPr>
        <w:t>采购代理机构：惠州市公共资源交易中心惠城分中心</w:t>
      </w:r>
    </w:p>
    <w:p>
      <w:pPr>
        <w:pStyle w:val="4"/>
        <w:ind w:firstLine="480"/>
      </w:pPr>
      <w:r>
        <w:t xml:space="preserve">  </w:t>
      </w:r>
      <w:r>
        <w:br w:type="textWrapping"/>
      </w:r>
    </w:p>
    <w:p>
      <w:pPr>
        <w:pStyle w:val="4"/>
        <w:jc w:val="center"/>
        <w:outlineLvl w:val="1"/>
      </w:pPr>
      <w:r>
        <w:rPr>
          <w:b/>
          <w:sz w:val="36"/>
        </w:rPr>
        <w:t>第一章投标邀请</w:t>
      </w:r>
    </w:p>
    <w:p>
      <w:pPr>
        <w:pStyle w:val="4"/>
        <w:ind w:firstLine="480"/>
      </w:pPr>
      <w:r>
        <w:t>惠州市公共资源交易中心惠城分中心受惠州市第二妇幼保健院的委托，采用公开招标方式组织采购惠州市第二妇幼保健院HIS系统升级改造项目。欢迎符合资格条件的国内供应商参加投标。</w:t>
      </w:r>
    </w:p>
    <w:p>
      <w:pPr>
        <w:pStyle w:val="4"/>
        <w:outlineLvl w:val="2"/>
      </w:pPr>
      <w:r>
        <w:rPr>
          <w:b/>
          <w:sz w:val="28"/>
        </w:rPr>
        <w:t>一.项目概述</w:t>
      </w:r>
    </w:p>
    <w:p>
      <w:pPr>
        <w:pStyle w:val="4"/>
        <w:outlineLvl w:val="3"/>
      </w:pPr>
      <w:r>
        <w:rPr>
          <w:b/>
          <w:sz w:val="24"/>
        </w:rPr>
        <w:t>1.名称与编号</w:t>
      </w:r>
    </w:p>
    <w:p>
      <w:pPr>
        <w:pStyle w:val="4"/>
        <w:ind w:firstLine="480"/>
      </w:pPr>
      <w:r>
        <w:t>项目名称：惠州市第二妇幼保健院HIS系统升级改造项目</w:t>
      </w:r>
    </w:p>
    <w:p>
      <w:pPr>
        <w:pStyle w:val="4"/>
        <w:ind w:firstLine="480"/>
      </w:pPr>
      <w:r>
        <w:t>采购计划编号：441302-2025-00548</w:t>
      </w:r>
    </w:p>
    <w:p>
      <w:pPr>
        <w:pStyle w:val="4"/>
        <w:ind w:firstLine="480"/>
      </w:pPr>
      <w:r>
        <w:t>采购项目编号：惠公易省云采惠城〔2025〕002号</w:t>
      </w:r>
    </w:p>
    <w:p>
      <w:pPr>
        <w:pStyle w:val="4"/>
        <w:ind w:firstLine="480"/>
      </w:pPr>
      <w:r>
        <w:t>采购方式：公开招标</w:t>
      </w:r>
    </w:p>
    <w:p>
      <w:pPr>
        <w:pStyle w:val="4"/>
        <w:ind w:firstLine="480"/>
      </w:pPr>
      <w:r>
        <w:t>预算金额：17,500,000.00元</w:t>
      </w:r>
    </w:p>
    <w:p>
      <w:pPr>
        <w:pStyle w:val="4"/>
        <w:outlineLvl w:val="3"/>
      </w:pPr>
      <w:r>
        <w:rPr>
          <w:b/>
          <w:sz w:val="24"/>
        </w:rPr>
        <w:t>2.项目内容及需求情况（采购项目技术规格、参数及要求）</w:t>
      </w:r>
    </w:p>
    <w:p>
      <w:pPr>
        <w:pStyle w:val="4"/>
      </w:pPr>
      <w:r>
        <w:t>采购包1(惠州市第二妇幼保健院HIS系统升级改造项目):</w:t>
      </w:r>
    </w:p>
    <w:p>
      <w:pPr>
        <w:pStyle w:val="4"/>
      </w:pPr>
      <w:r>
        <w:t>采购包预算金额：17,500,000.00元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5"/>
        <w:gridCol w:w="1327"/>
        <w:gridCol w:w="1984"/>
        <w:gridCol w:w="962"/>
        <w:gridCol w:w="961"/>
        <w:gridCol w:w="1380"/>
        <w:gridCol w:w="9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77" w:type="dxa"/>
          </w:tcPr>
          <w:p>
            <w:pPr>
              <w:pStyle w:val="4"/>
            </w:pPr>
            <w:r>
              <w:t>品目号</w:t>
            </w:r>
          </w:p>
        </w:tc>
        <w:tc>
          <w:tcPr>
            <w:tcW w:w="1368" w:type="dxa"/>
          </w:tcPr>
          <w:p>
            <w:pPr>
              <w:pStyle w:val="4"/>
            </w:pPr>
            <w:r>
              <w:t>品目名称</w:t>
            </w:r>
          </w:p>
        </w:tc>
        <w:tc>
          <w:tcPr>
            <w:tcW w:w="2052" w:type="dxa"/>
          </w:tcPr>
          <w:p>
            <w:pPr>
              <w:pStyle w:val="4"/>
            </w:pPr>
            <w:r>
              <w:t>采购标的</w:t>
            </w:r>
          </w:p>
        </w:tc>
        <w:tc>
          <w:tcPr>
            <w:tcW w:w="977" w:type="dxa"/>
          </w:tcPr>
          <w:p>
            <w:pPr>
              <w:pStyle w:val="4"/>
            </w:pPr>
            <w:r>
              <w:t>数量（单位）</w:t>
            </w:r>
          </w:p>
        </w:tc>
        <w:tc>
          <w:tcPr>
            <w:tcW w:w="977" w:type="dxa"/>
          </w:tcPr>
          <w:p>
            <w:pPr>
              <w:pStyle w:val="4"/>
            </w:pPr>
            <w:r>
              <w:t>技术规格、参数及要求</w:t>
            </w:r>
          </w:p>
        </w:tc>
        <w:tc>
          <w:tcPr>
            <w:tcW w:w="977" w:type="dxa"/>
          </w:tcPr>
          <w:p>
            <w:pPr>
              <w:pStyle w:val="4"/>
            </w:pPr>
            <w:r>
              <w:t>品目预算(元)</w:t>
            </w:r>
          </w:p>
        </w:tc>
        <w:tc>
          <w:tcPr>
            <w:tcW w:w="977" w:type="dxa"/>
          </w:tcPr>
          <w:p>
            <w:pPr>
              <w:pStyle w:val="4"/>
            </w:pPr>
            <w: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pPr>
              <w:pStyle w:val="4"/>
            </w:pPr>
            <w:r>
              <w:t>1-1</w:t>
            </w:r>
          </w:p>
        </w:tc>
        <w:tc>
          <w:tcPr>
            <w:tcW w:w="1368" w:type="dxa"/>
          </w:tcPr>
          <w:p>
            <w:pPr>
              <w:pStyle w:val="4"/>
            </w:pPr>
            <w:r>
              <w:t>基础软件开发服务</w:t>
            </w:r>
          </w:p>
        </w:tc>
        <w:tc>
          <w:tcPr>
            <w:tcW w:w="2052" w:type="dxa"/>
          </w:tcPr>
          <w:p>
            <w:pPr>
              <w:pStyle w:val="4"/>
            </w:pPr>
            <w:r>
              <w:t>惠州市第二妇幼保健院HIS系统升级改造项目</w:t>
            </w:r>
          </w:p>
        </w:tc>
        <w:tc>
          <w:tcPr>
            <w:tcW w:w="977" w:type="dxa"/>
          </w:tcPr>
          <w:p>
            <w:pPr>
              <w:pStyle w:val="4"/>
            </w:pPr>
            <w:r>
              <w:t>1(项)</w:t>
            </w:r>
          </w:p>
        </w:tc>
        <w:tc>
          <w:tcPr>
            <w:tcW w:w="977" w:type="dxa"/>
          </w:tcPr>
          <w:p>
            <w:pPr>
              <w:pStyle w:val="4"/>
            </w:pPr>
            <w:r>
              <w:t>详见第二章</w:t>
            </w:r>
          </w:p>
        </w:tc>
        <w:tc>
          <w:tcPr>
            <w:tcW w:w="977" w:type="dxa"/>
          </w:tcPr>
          <w:p>
            <w:pPr>
              <w:pStyle w:val="4"/>
            </w:pPr>
            <w:r>
              <w:t>17,500,000.00</w:t>
            </w:r>
          </w:p>
        </w:tc>
        <w:tc>
          <w:tcPr>
            <w:tcW w:w="977" w:type="dxa"/>
          </w:tcPr>
          <w:p>
            <w:pPr>
              <w:pStyle w:val="4"/>
            </w:pPr>
            <w:r>
              <w:t>否</w:t>
            </w:r>
          </w:p>
        </w:tc>
      </w:tr>
    </w:tbl>
    <w:p>
      <w:pPr>
        <w:pStyle w:val="4"/>
      </w:pPr>
      <w:r>
        <w:t>本采购包不接受联合体投标</w:t>
      </w:r>
    </w:p>
    <w:p>
      <w:pPr>
        <w:pStyle w:val="4"/>
      </w:pPr>
      <w:r>
        <w:t>合同分包：不允许合同分包</w:t>
      </w:r>
    </w:p>
    <w:p>
      <w:pPr>
        <w:pStyle w:val="4"/>
      </w:pPr>
      <w:r>
        <w:t>合同履行期限：双方自合同签订之日起1年。</w:t>
      </w:r>
    </w:p>
    <w:p>
      <w:pPr>
        <w:pStyle w:val="4"/>
        <w:outlineLvl w:val="2"/>
      </w:pPr>
      <w:r>
        <w:rPr>
          <w:b/>
          <w:sz w:val="28"/>
        </w:rPr>
        <w:t>二.投标人的资格要求</w:t>
      </w:r>
    </w:p>
    <w:p>
      <w:pPr>
        <w:pStyle w:val="4"/>
        <w:outlineLvl w:val="3"/>
      </w:pPr>
      <w:r>
        <w:rPr>
          <w:b/>
          <w:sz w:val="24"/>
        </w:rPr>
        <w:t>1.投标人应具备《中华人民共和国政府采购法》第二十二条规定的条件，提供下列材料：</w:t>
      </w:r>
    </w:p>
    <w:p>
      <w:pPr>
        <w:pStyle w:val="4"/>
      </w:pPr>
      <w:r>
        <w:t>1）具有独立承担民事责任的能力：在中华人民共和国境内注册的法人或其他组织或自然人，投标时提交有效的营业执照(或事业法人登记证或身份证等相关证明)副本复印件；</w:t>
      </w:r>
    </w:p>
    <w:p>
      <w:pPr>
        <w:pStyle w:val="4"/>
      </w:pPr>
      <w:r>
        <w:t>2）有依法缴纳税收和社会保障资金的良好记录：提供投标截止日前6个月内任意1个月依法缴纳税收和社会保障资金的相关材料。如依法免税或不需要缴纳社会保障资金的，提供相应证明材料；</w:t>
      </w:r>
    </w:p>
    <w:p>
      <w:pPr>
        <w:pStyle w:val="4"/>
      </w:pPr>
      <w:r>
        <w:t>3）具有良好的商业信誉和健全的财务会计制度：供应商必须具有良好的商业信誉和健全的财务会计制度(提供2023年度财务状况报告或2024年度财务状况报告或基本开户行出具的资信证明)；</w:t>
      </w:r>
    </w:p>
    <w:p>
      <w:pPr>
        <w:pStyle w:val="4"/>
      </w:pPr>
      <w:r>
        <w:t>4）履行合同所必需的设备和专业技术能力：按投标(响应)文件格式填报设备及专业技术能力情况；</w:t>
      </w:r>
    </w:p>
    <w:p>
      <w:pPr>
        <w:pStyle w:val="4"/>
      </w:pPr>
      <w:r>
        <w:t>5）参加采购活动前3年内，在经营活动中没有重大违法记录：参照投标(报价)函相关承诺格式内容。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pPr>
        <w:pStyle w:val="4"/>
        <w:outlineLvl w:val="3"/>
      </w:pPr>
      <w:r>
        <w:rPr>
          <w:b/>
          <w:sz w:val="24"/>
        </w:rPr>
        <w:t>2.落实政府采购政策需满足的资格要求：</w:t>
      </w:r>
    </w:p>
    <w:p>
      <w:pPr>
        <w:pStyle w:val="4"/>
        <w:jc w:val="left"/>
      </w:pPr>
      <w:r>
        <w:t>采购包1（惠州市第二妇幼保健院HIS系统升级改造项目）：本项目不属于专门面向中小企业采购的项目。需落实《政府采购促进中小企业发展管理办法》（财库〔2020〕46号）、《关于政府采购支持监狱企业发展有关问题的通知》(财库〔2014〕68号)、《关于促进残疾人就业政府采购政策的通知》（财库〔2017〕141号)、《关于调整优化节能产品、环境标志产品政府采购执行机制的通知》（财库〔2019〕9号）、《关于运用政府采购政策支持脱贫攻坚的通知》（财库〔2019〕27号）、《惠州市财政局关于加大政府采购支持中小企业发展的通知》（惠财采购函〔2022〕19号）等政府采购政策。</w:t>
      </w:r>
    </w:p>
    <w:p>
      <w:pPr>
        <w:pStyle w:val="4"/>
        <w:outlineLvl w:val="3"/>
      </w:pPr>
      <w:r>
        <w:rPr>
          <w:b/>
          <w:sz w:val="24"/>
        </w:rPr>
        <w:t>3.本项目特定的资格要求：</w:t>
      </w:r>
    </w:p>
    <w:p>
      <w:pPr>
        <w:pStyle w:val="4"/>
      </w:pPr>
      <w:r>
        <w:t>采购包1（惠州市第二妇幼保健院HIS系统升级改造项目）：</w:t>
      </w:r>
    </w:p>
    <w:p>
      <w:pPr>
        <w:pStyle w:val="4"/>
      </w:pPr>
      <w:r>
        <w:t>1)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p>
      <w:pPr>
        <w:pStyle w:val="4"/>
      </w:pPr>
      <w:r>
        <w:t>2)单位负责人为同一人或者存在直接控股、管理关系的不同供应商，不得同时参加本采购项目(包组)投标。为本项目提供整体设计、规范编制或者项目管理、监理、检测等服务的供应商，不得再参与本项目投标。(供应商出具声明函)。</w:t>
      </w:r>
    </w:p>
    <w:p>
      <w:pPr>
        <w:pStyle w:val="4"/>
        <w:outlineLvl w:val="2"/>
      </w:pPr>
      <w:r>
        <w:rPr>
          <w:b/>
          <w:sz w:val="28"/>
        </w:rPr>
        <w:t>三.获取招标文件</w:t>
      </w:r>
    </w:p>
    <w:p>
      <w:pPr>
        <w:pStyle w:val="4"/>
        <w:ind w:firstLine="480"/>
      </w:pPr>
      <w:r>
        <w:t>时间：详见招标公告及其变更公告（如有）</w:t>
      </w:r>
    </w:p>
    <w:p>
      <w:pPr>
        <w:pStyle w:val="4"/>
        <w:ind w:firstLine="480"/>
      </w:pPr>
      <w:r>
        <w:t>地点：详见招标公告及其变更公告（如有）</w:t>
      </w:r>
    </w:p>
    <w:p>
      <w:pPr>
        <w:pStyle w:val="4"/>
        <w:ind w:firstLine="480"/>
      </w:pPr>
      <w: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4"/>
        <w:ind w:firstLine="480"/>
      </w:pPr>
      <w:r>
        <w:t>售价：免费</w:t>
      </w:r>
    </w:p>
    <w:p>
      <w:pPr>
        <w:pStyle w:val="4"/>
        <w:outlineLvl w:val="2"/>
      </w:pPr>
      <w:r>
        <w:rPr>
          <w:b/>
          <w:sz w:val="28"/>
        </w:rPr>
        <w:t>四.提交投标文件截止时间、开标时间和地点：</w:t>
      </w:r>
    </w:p>
    <w:p>
      <w:pPr>
        <w:pStyle w:val="4"/>
        <w:ind w:firstLine="480"/>
      </w:pPr>
      <w:r>
        <w:t xml:space="preserve"> 提交投标文件截止时间和开标时间：详见招标公告及其变更公告（如有）</w:t>
      </w:r>
    </w:p>
    <w:p>
      <w:pPr>
        <w:pStyle w:val="4"/>
        <w:ind w:firstLine="480"/>
      </w:pPr>
      <w:r>
        <w:t xml:space="preserve"> （自招标文件开始发出之日起至投标人提交投标文件截止之日止，不得少于20日）</w:t>
      </w:r>
    </w:p>
    <w:p>
      <w:pPr>
        <w:pStyle w:val="4"/>
        <w:ind w:firstLine="480"/>
      </w:pPr>
      <w:r>
        <w:t xml:space="preserve"> 地点：详见招标公告及其变更公告（如有）</w:t>
      </w:r>
    </w:p>
    <w:p>
      <w:pPr>
        <w:pStyle w:val="4"/>
        <w:outlineLvl w:val="2"/>
      </w:pPr>
      <w:r>
        <w:rPr>
          <w:b/>
          <w:sz w:val="28"/>
        </w:rPr>
        <w:t>五.公告期限、发布公告的媒介：</w:t>
      </w:r>
    </w:p>
    <w:p>
      <w:pPr>
        <w:pStyle w:val="4"/>
        <w:ind w:firstLine="480"/>
      </w:pPr>
      <w:r>
        <w:t xml:space="preserve"> 1、公告期限：自本公告发布之日起不得少于5个工作日。</w:t>
      </w:r>
    </w:p>
    <w:p>
      <w:pPr>
        <w:pStyle w:val="4"/>
        <w:ind w:firstLine="480"/>
      </w:pPr>
      <w:r>
        <w:t xml:space="preserve"> 2、发布公告的媒介：中国政府采购网(www.ccgp.gov.cn)、广东省政府采购网(https://gdgpo.czt.gd.gov.cn/)；</w:t>
      </w:r>
    </w:p>
    <w:p>
      <w:pPr>
        <w:pStyle w:val="4"/>
        <w:outlineLvl w:val="2"/>
      </w:pPr>
      <w:r>
        <w:rPr>
          <w:b/>
          <w:sz w:val="28"/>
        </w:rPr>
        <w:t>六.本项目联系方式：</w:t>
      </w:r>
    </w:p>
    <w:p>
      <w:pPr>
        <w:pStyle w:val="4"/>
        <w:outlineLvl w:val="3"/>
      </w:pPr>
      <w:r>
        <w:rPr>
          <w:b/>
          <w:sz w:val="24"/>
        </w:rPr>
        <w:t xml:space="preserve"> 1.采购人信息</w:t>
      </w:r>
    </w:p>
    <w:p>
      <w:pPr>
        <w:pStyle w:val="4"/>
        <w:ind w:firstLine="480"/>
      </w:pPr>
      <w:r>
        <w:t xml:space="preserve"> 名称：惠州市第二妇幼保健院</w:t>
      </w:r>
    </w:p>
    <w:p>
      <w:pPr>
        <w:pStyle w:val="4"/>
        <w:ind w:firstLine="480"/>
      </w:pPr>
      <w:r>
        <w:t xml:space="preserve"> 地址：惠州市惠城区上排大岭路10号</w:t>
      </w:r>
    </w:p>
    <w:p>
      <w:pPr>
        <w:pStyle w:val="4"/>
        <w:ind w:firstLine="480"/>
      </w:pPr>
      <w:r>
        <w:t xml:space="preserve"> 联系方式：0752-7381667</w:t>
      </w:r>
    </w:p>
    <w:p>
      <w:pPr>
        <w:pStyle w:val="4"/>
        <w:outlineLvl w:val="3"/>
      </w:pPr>
      <w:r>
        <w:rPr>
          <w:b/>
          <w:sz w:val="24"/>
        </w:rPr>
        <w:t xml:space="preserve"> 2.采购代理机构信息</w:t>
      </w:r>
    </w:p>
    <w:p>
      <w:pPr>
        <w:pStyle w:val="4"/>
        <w:ind w:firstLine="480"/>
      </w:pPr>
      <w:r>
        <w:t xml:space="preserve"> 名称：惠州市公共资源交易中心惠城分中心</w:t>
      </w:r>
    </w:p>
    <w:p>
      <w:pPr>
        <w:pStyle w:val="4"/>
        <w:ind w:firstLine="480"/>
      </w:pPr>
      <w:r>
        <w:t xml:space="preserve"> 地址：惠州市惠城区新联路3号西湖大剧院三楼</w:t>
      </w:r>
    </w:p>
    <w:p>
      <w:pPr>
        <w:pStyle w:val="4"/>
        <w:ind w:firstLine="480"/>
      </w:pPr>
      <w:r>
        <w:t xml:space="preserve"> 联系方式：0752-2386023</w:t>
      </w:r>
    </w:p>
    <w:p>
      <w:pPr>
        <w:pStyle w:val="4"/>
        <w:outlineLvl w:val="3"/>
      </w:pPr>
      <w:r>
        <w:rPr>
          <w:b/>
          <w:sz w:val="24"/>
        </w:rPr>
        <w:t xml:space="preserve"> 3.项目联系方式</w:t>
      </w:r>
    </w:p>
    <w:p>
      <w:pPr>
        <w:pStyle w:val="4"/>
        <w:ind w:firstLine="480"/>
      </w:pPr>
      <w:r>
        <w:t xml:space="preserve"> 项目联系人：钟先生</w:t>
      </w:r>
    </w:p>
    <w:p>
      <w:pPr>
        <w:pStyle w:val="4"/>
        <w:ind w:firstLine="480"/>
      </w:pPr>
      <w:r>
        <w:t xml:space="preserve"> 电话：0752-2386023</w:t>
      </w:r>
    </w:p>
    <w:p>
      <w:pPr>
        <w:pStyle w:val="4"/>
        <w:outlineLvl w:val="3"/>
      </w:pPr>
      <w:r>
        <w:rPr>
          <w:b/>
          <w:sz w:val="24"/>
        </w:rPr>
        <w:t xml:space="preserve"> 4.技术支持联系方式</w:t>
      </w:r>
    </w:p>
    <w:p>
      <w:pPr>
        <w:pStyle w:val="4"/>
        <w:ind w:firstLine="480"/>
      </w:pPr>
      <w:r>
        <w:t>云平台联系方式：020-88696588</w:t>
      </w:r>
    </w:p>
    <w:p>
      <w:pPr>
        <w:pStyle w:val="4"/>
        <w:ind w:firstLine="480"/>
      </w:pPr>
      <w:r>
        <w:t>开标评标服务专线：020-88696599</w:t>
      </w:r>
    </w:p>
    <w:p>
      <w:pPr>
        <w:pStyle w:val="4"/>
      </w:pPr>
      <w:r>
        <w:t xml:space="preserve"> 采购代理机构：惠州市公共资源交易中心惠城分中心</w:t>
      </w:r>
    </w:p>
    <w:p>
      <w:pPr>
        <w:pStyle w:val="4"/>
        <w:ind w:firstLine="480"/>
      </w:pPr>
      <w:r>
        <w:t xml:space="preserve">  </w:t>
      </w:r>
    </w:p>
    <w:p>
      <w:pPr>
        <w:pStyle w:val="4"/>
        <w:jc w:val="center"/>
        <w:outlineLvl w:val="1"/>
      </w:pPr>
      <w:r>
        <w:rPr>
          <w:b/>
          <w:sz w:val="36"/>
        </w:rPr>
        <w:t>第二章 采购需求</w:t>
      </w:r>
    </w:p>
    <w:p>
      <w:pPr>
        <w:pStyle w:val="4"/>
        <w:outlineLvl w:val="2"/>
      </w:pPr>
      <w:r>
        <w:rPr>
          <w:b/>
          <w:sz w:val="28"/>
        </w:rPr>
        <w:t>一、项目概况：</w:t>
      </w:r>
    </w:p>
    <w:p>
      <w:pPr>
        <w:pStyle w:val="4"/>
        <w:outlineLvl w:val="1"/>
      </w:pPr>
      <w:r>
        <w:rPr>
          <w:b/>
          <w:color w:val="000000"/>
          <w:sz w:val="32"/>
        </w:rPr>
        <w:t>一、项目采购基本情况</w:t>
      </w:r>
    </w:p>
    <w:p>
      <w:pPr>
        <w:pStyle w:val="4"/>
        <w:ind w:firstLine="440"/>
        <w:jc w:val="both"/>
      </w:pPr>
      <w:r>
        <w:rPr>
          <w:sz w:val="22"/>
        </w:rPr>
        <w:t>(一)采购计划备案编号：441302-2025-00548</w:t>
      </w:r>
    </w:p>
    <w:p>
      <w:pPr>
        <w:pStyle w:val="4"/>
        <w:ind w:firstLine="440"/>
        <w:jc w:val="both"/>
      </w:pPr>
      <w:r>
        <w:rPr>
          <w:sz w:val="22"/>
        </w:rPr>
        <w:t>(二)采购项目名称：惠州市第二妇幼保健院HIS系统升级改造项目</w:t>
      </w:r>
    </w:p>
    <w:p>
      <w:pPr>
        <w:pStyle w:val="4"/>
        <w:ind w:firstLine="440"/>
        <w:jc w:val="both"/>
      </w:pPr>
      <w:r>
        <w:rPr>
          <w:sz w:val="22"/>
        </w:rPr>
        <w:t>(三)采购方式：公开招标</w:t>
      </w:r>
    </w:p>
    <w:p>
      <w:pPr>
        <w:pStyle w:val="4"/>
        <w:ind w:firstLine="440"/>
        <w:jc w:val="both"/>
      </w:pPr>
      <w:r>
        <w:rPr>
          <w:sz w:val="22"/>
        </w:rPr>
        <w:t>(四)推荐候选人名单和满足开标条件的数量：</w:t>
      </w:r>
    </w:p>
    <w:p>
      <w:pPr>
        <w:pStyle w:val="4"/>
        <w:ind w:firstLine="440"/>
        <w:jc w:val="both"/>
      </w:pPr>
      <w:r>
        <w:rPr>
          <w:sz w:val="22"/>
        </w:rPr>
        <w:t>该项目中标(成交)供应商的数量设置为1名，推荐中标候选人的数量设置为2名。</w:t>
      </w:r>
    </w:p>
    <w:p>
      <w:pPr>
        <w:pStyle w:val="4"/>
        <w:ind w:firstLine="440"/>
        <w:jc w:val="both"/>
      </w:pPr>
      <w:r>
        <w:rPr>
          <w:sz w:val="22"/>
        </w:rPr>
        <w:t>采用综合评分法的，评标委员会依据中标候选人的数量按评审后总得分由高到低的顺序推荐参加投标的投标人为中标候选人，由采购人按顺序对中标候选人确定为中标人，并签订政府采购合同。采购人未确认的中标候选人为替补候选人，如果中标人放弃中标的，采购人可以按顺序重新确认替补候选人为中标人，并签订政府采购合同。</w:t>
      </w:r>
    </w:p>
    <w:p>
      <w:pPr>
        <w:pStyle w:val="4"/>
        <w:ind w:firstLine="440"/>
        <w:jc w:val="both"/>
      </w:pPr>
      <w:r>
        <w:rPr>
          <w:sz w:val="22"/>
        </w:rPr>
        <w:t>该项目满足开标条件的投标文件数量设置为不少于3家。开标前参加投标的投标人提交的投标文件数量或经评标委员会进行资格性、符合性审查后投标文件数量不能满足开标条件的，将予以废标。</w:t>
      </w:r>
    </w:p>
    <w:p>
      <w:pPr>
        <w:pStyle w:val="4"/>
        <w:ind w:firstLine="440"/>
        <w:jc w:val="both"/>
      </w:pPr>
      <w:r>
        <w:rPr>
          <w:sz w:val="22"/>
        </w:rPr>
        <w:t>(五)定标方法：</w:t>
      </w:r>
    </w:p>
    <w:p>
      <w:pPr>
        <w:pStyle w:val="4"/>
        <w:ind w:firstLine="440"/>
        <w:jc w:val="both"/>
      </w:pPr>
      <w:r>
        <w:rPr>
          <w:sz w:val="22"/>
        </w:rPr>
        <w:t>根据《政府采购货物和服务招标投标管理办法》(财政部令第87号)的有关规定，采购人按照该项目评审小组依法推荐的中标候选人顺序依法依规确定该项目的中标人。</w:t>
      </w:r>
    </w:p>
    <w:p>
      <w:pPr>
        <w:pStyle w:val="4"/>
        <w:ind w:firstLine="440"/>
        <w:jc w:val="both"/>
      </w:pPr>
      <w:r>
        <w:rPr>
          <w:sz w:val="22"/>
        </w:rPr>
        <w:t>(六)本项目未采取分包方式履约合同。</w:t>
      </w:r>
    </w:p>
    <w:p>
      <w:pPr>
        <w:pStyle w:val="4"/>
        <w:ind w:firstLine="440"/>
        <w:jc w:val="both"/>
      </w:pPr>
      <w:r>
        <w:rPr>
          <w:sz w:val="22"/>
        </w:rPr>
        <w:t>(七)有效报价要求：</w:t>
      </w:r>
    </w:p>
    <w:p>
      <w:pPr>
        <w:pStyle w:val="4"/>
        <w:ind w:firstLine="440"/>
        <w:jc w:val="both"/>
      </w:pPr>
      <w:r>
        <w:rPr>
          <w:sz w:val="22"/>
        </w:rPr>
        <w:t>1、价格构成。本项目为交钥匙项目，投标报价为全包价，以人民币为结算单位，包括系统设计开发、安装费、调试费、技术服务费以及第三方产品的实施、开发改造以及运维费用(含联络费、培训费、保修费)、各项税费及不可预见费等完成本项目内容所需的一切费用；报价不得高于采购预算，且报价方案唯一，报价高于采购预算按投标无效处理。</w:t>
      </w:r>
    </w:p>
    <w:p>
      <w:pPr>
        <w:pStyle w:val="4"/>
        <w:ind w:firstLine="440"/>
        <w:jc w:val="both"/>
      </w:pPr>
      <w:r>
        <w:rPr>
          <w:sz w:val="22"/>
        </w:rPr>
        <w:t>2、无效的投标报价将作无效投标处理。根据《政府采购货物和服务招标投标管理办法》(财政部令第87号)第六十条的规定，评标委员会认为投标人的报价明显低于其他通过符合性审查投标人的报价，有可能影响产品质量或者不能诚信履约的，评标委员会审查投标人提供的书面说明及必要时提交相关证明材料。投标人不能证明其报价合理性的，评标委员会可以将其作为无效投标处理。</w:t>
      </w:r>
    </w:p>
    <w:p>
      <w:pPr>
        <w:pStyle w:val="4"/>
        <w:ind w:firstLine="440"/>
        <w:jc w:val="both"/>
      </w:pPr>
      <w:r>
        <w:rPr>
          <w:sz w:val="22"/>
        </w:rPr>
        <w:t>(八)关于联合体投标：</w:t>
      </w:r>
    </w:p>
    <w:p>
      <w:pPr>
        <w:pStyle w:val="4"/>
        <w:ind w:firstLine="440"/>
        <w:jc w:val="both"/>
      </w:pPr>
      <w:r>
        <w:rPr>
          <w:sz w:val="22"/>
        </w:rPr>
        <w:t>本项目不接受联合体投标，不允许投标人对本招标项目进行违法分包和转包。</w:t>
      </w:r>
    </w:p>
    <w:p>
      <w:pPr>
        <w:pStyle w:val="4"/>
        <w:ind w:firstLine="440"/>
        <w:jc w:val="both"/>
      </w:pPr>
      <w:r>
        <w:rPr>
          <w:sz w:val="22"/>
        </w:rPr>
        <w:t>(九)本项目无需投标保证金。</w:t>
      </w:r>
    </w:p>
    <w:p>
      <w:pPr>
        <w:pStyle w:val="4"/>
        <w:ind w:firstLine="440"/>
        <w:jc w:val="both"/>
      </w:pPr>
      <w:r>
        <w:rPr>
          <w:sz w:val="22"/>
        </w:rPr>
        <w:t>(十)关于进口产品采购：</w:t>
      </w:r>
    </w:p>
    <w:p>
      <w:pPr>
        <w:pStyle w:val="4"/>
        <w:ind w:firstLine="440"/>
        <w:jc w:val="both"/>
      </w:pPr>
      <w:r>
        <w:rPr>
          <w:sz w:val="22"/>
        </w:rPr>
        <w:t>根据《政府采购进口产品管理办法》(财库〔2007〕119号)第四条“政府采购应当采购本国产品，确需采购进口产品的，实行审核管理”的规定，本项目不可采购进口产品。</w:t>
      </w:r>
    </w:p>
    <w:p>
      <w:pPr>
        <w:pStyle w:val="4"/>
        <w:ind w:firstLine="440"/>
        <w:jc w:val="both"/>
      </w:pPr>
      <w:r>
        <w:rPr>
          <w:sz w:val="22"/>
        </w:rPr>
        <w:t>(十一)关于询问和质疑。供应商的询问或者质疑应向采购人提出，采购人负责受理和答复供应商的询问或者质疑。供应商提出的询问或者质疑涉及采购代理机构组织的开评标程序的，采购人应当及时将此内容转告采购代理机构，采购代理机构应协助采购人答复有关开评标程序的询问或者质疑。</w:t>
      </w:r>
    </w:p>
    <w:p>
      <w:pPr>
        <w:pStyle w:val="4"/>
        <w:jc w:val="both"/>
      </w:pPr>
      <w:r>
        <w:rPr>
          <w:sz w:val="32"/>
        </w:rPr>
        <w:t>二、最高限价和报价方式：</w:t>
      </w:r>
    </w:p>
    <w:p>
      <w:pPr>
        <w:pStyle w:val="4"/>
        <w:ind w:firstLine="440"/>
        <w:jc w:val="both"/>
      </w:pPr>
      <w:r>
        <w:rPr>
          <w:sz w:val="22"/>
        </w:rPr>
        <w:t>(一)最高限价：人民币：1750万元，该项目采购预算作为最高限价。</w:t>
      </w:r>
    </w:p>
    <w:p>
      <w:pPr>
        <w:pStyle w:val="4"/>
        <w:ind w:firstLine="440"/>
        <w:jc w:val="both"/>
      </w:pPr>
      <w:r>
        <w:rPr>
          <w:sz w:val="22"/>
        </w:rPr>
        <w:t>关于最高限价说明：</w:t>
      </w:r>
    </w:p>
    <w:p>
      <w:pPr>
        <w:pStyle w:val="4"/>
        <w:ind w:firstLine="440"/>
        <w:jc w:val="both"/>
      </w:pPr>
      <w:r>
        <w:rPr>
          <w:sz w:val="22"/>
        </w:rPr>
        <w:t>(二)报价方式：按总价报价的报价方式。</w:t>
      </w:r>
    </w:p>
    <w:p>
      <w:pPr>
        <w:pStyle w:val="4"/>
        <w:ind w:firstLine="440"/>
        <w:jc w:val="both"/>
      </w:pPr>
      <w:r>
        <w:rPr>
          <w:sz w:val="22"/>
        </w:rPr>
        <w:t>(三)报价要求：</w:t>
      </w:r>
    </w:p>
    <w:p>
      <w:pPr>
        <w:pStyle w:val="4"/>
        <w:ind w:firstLine="440"/>
        <w:jc w:val="both"/>
      </w:pPr>
      <w:r>
        <w:rPr>
          <w:sz w:val="22"/>
        </w:rPr>
        <w:t>1、供应商的报价需要符合本项目“一、采购项目的基本信息”关于有效报价的要求。</w:t>
      </w:r>
    </w:p>
    <w:p>
      <w:pPr>
        <w:pStyle w:val="4"/>
        <w:ind w:firstLine="440"/>
        <w:jc w:val="both"/>
      </w:pPr>
      <w:r>
        <w:rPr>
          <w:sz w:val="22"/>
        </w:rPr>
        <w:t>2、供应商未按报价方式、报价要求进行投标报价的，视为无效报价，其投标无效，由评标委员会在符合性审查中不予通过。</w:t>
      </w:r>
    </w:p>
    <w:p>
      <w:pPr>
        <w:pStyle w:val="4"/>
      </w:pPr>
      <w:r>
        <w:t>采购包1（惠州市第二妇幼保健院HIS系统升级改造项目）</w:t>
      </w:r>
      <w:r>
        <w:rPr>
          <w:b/>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标的提供的时间</w:t>
            </w:r>
          </w:p>
        </w:tc>
        <w:tc>
          <w:tcPr>
            <w:tcW w:w="4153" w:type="dxa"/>
          </w:tcPr>
          <w:p>
            <w:pPr>
              <w:pStyle w:val="4"/>
            </w:pPr>
            <w:r>
              <w:t>自合同签订之日起5个工作日内开始提供服务。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标的提供的地点</w:t>
            </w:r>
          </w:p>
        </w:tc>
        <w:tc>
          <w:tcPr>
            <w:tcW w:w="4153" w:type="dxa"/>
          </w:tcPr>
          <w:p>
            <w:pPr>
              <w:pStyle w:val="4"/>
            </w:pPr>
            <w:r>
              <w:t>惠州市第二妇幼保健院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付款方式</w:t>
            </w:r>
          </w:p>
        </w:tc>
        <w:tc>
          <w:tcPr>
            <w:tcW w:w="4153" w:type="dxa"/>
          </w:tcPr>
          <w:p>
            <w:pPr>
              <w:pStyle w:val="4"/>
            </w:pPr>
            <w:r>
              <w:t>第1期为(支付方式)：支付比例100%，（1）应用软件开发：签订合同后，收到中标人合格的发票10个工作日内支付应用软件开发合计金额的30%作为预付款；各子系统上线后，收到中标人合格的发票30个工作日内支付相应子系统金额的30%作为进度款；初验合格后，收到中标人合格的发票30个工作日内支付相应子系统金额的35%；试运行验合格后启动终验（合计试运行三个月），终验合格后，收到中标人合格的发票30个工作日内支付相应子系统金额的5%； （2）接口服务、历史数据迁移服务：签订合同后，收到中标人合格发票10个工作日内支付接口服务、历史数据迁移服务合计金额的30%作为预付款：各服务内容项上线后，收到中标人合格的发票30个工作日内支付相应内容项金额的30%作为进度款；初验合格后，收到中标人合格的发票30个工作日内支付相应内容项金额的35%；试运行验合格后启动终验（合计试运行三个月），收到中标人合格的发票，30个工作日内支付相应子系统金额的5%。 （3）电子病历、互联互通测评支持服务:签订合同后，收到中标人合格发票10个工作日内支付电子病历、互联互通测评支持服务合计金额的30%作为预付款;顺利通过电子病历、互联互通测评后，收到中标人合格的发票30个工作日内支付相应内容项金额的70%。 （4）IT基础设施建设:签订合同后，收到中标人合格的发票10个工作日内支付IT基础设施建设合计金额的30%作为预付款;IT基础设施设备清单全部安装、配置、调试并上线稳定运行，通过初验后，采购人在收到中标人合格的发票，30个工作日内向中标人支付IT基础设施建设清单金额的50%;项目上线运行三个月通过终验合格后，采购人在收到中标人合格的发票后，30个工作日内支付IT基础设施建设清单金额的20%。 （5）支付方式采用银行转账支付。 （6）如采购人使用的是财政资金，付款时间最终以财政拨付的时间为准。采购人不承担因财政资金不能及时到位给中标人造成的任何损失。。</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4"/>
            </w:pPr>
            <w:r>
              <w:t>如项目发生合同融资，采购人应当将合同款项支付到合同约定收款账户。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验收要求</w:t>
            </w:r>
          </w:p>
        </w:tc>
        <w:tc>
          <w:tcPr>
            <w:tcW w:w="4153" w:type="dxa"/>
          </w:tcPr>
          <w:p>
            <w:pPr>
              <w:pStyle w:val="4"/>
            </w:pPr>
            <w:r>
              <w:t>1期：（1）采购人组成验收小组按国家有关规定规范进行验收（包含第三方测评等专业验收测评），必要时邀请相关的专业人员或机构参与验收。对本项目的所有系统功能和各项性能指标进行检验。如发现系统功能和性能指标等任何一项与合同、招标文件要求规定不符的，采购人有权拒绝接受。 （2）项目验收需满足电子病历四级，互联互通四甲，医院三甲要求； （3）中标供应商应负责在项目验收时将系统的全部有关产品说明书、原厂家安装手册、技术文件、资料及安装、验收报告等文档汇集成册交付设备使用单位。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履约保证金</w:t>
            </w:r>
          </w:p>
        </w:tc>
        <w:tc>
          <w:tcPr>
            <w:tcW w:w="4153" w:type="dxa"/>
          </w:tcPr>
          <w:p>
            <w:pPr>
              <w:pStyle w:val="4"/>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其他</w:t>
            </w:r>
          </w:p>
        </w:tc>
        <w:tc>
          <w:tcPr>
            <w:tcW w:w="4153" w:type="dxa"/>
          </w:tcPr>
          <w:p>
            <w:pPr>
              <w:pStyle w:val="4"/>
            </w:pPr>
            <w:r>
              <w:t>其他，1.★本项目实施期间与涉及的应用软件、工程实施及采购人自行购买的第三方软件系统接口必须免费对接（提供承诺函，格式自拟） 2.★在免费质保期内承诺核心系统（HIS）与采购人自行购买的第三方软件系统接口必须免费对接。（提供承诺函，格式自拟）</w:t>
            </w:r>
          </w:p>
        </w:tc>
      </w:tr>
    </w:tbl>
    <w:p>
      <w:pPr>
        <w:pStyle w:val="4"/>
      </w:pPr>
      <w:r>
        <w:t>其他商务需求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693"/>
        <w:gridCol w:w="1383"/>
        <w:gridCol w:w="2076"/>
        <w:gridCol w:w="2076"/>
        <w:gridCol w:w="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3" w:type="dxa"/>
        </w:trPr>
        <w:tc>
          <w:tcPr>
            <w:tcW w:w="2076" w:type="dxa"/>
          </w:tcPr>
          <w:p>
            <w:pPr>
              <w:pStyle w:val="4"/>
              <w:jc w:val="center"/>
            </w:pPr>
            <w:r>
              <w:t>参数性质</w:t>
            </w:r>
          </w:p>
        </w:tc>
        <w:tc>
          <w:tcPr>
            <w:tcW w:w="2076" w:type="dxa"/>
            <w:gridSpan w:val="2"/>
          </w:tcPr>
          <w:p>
            <w:pPr>
              <w:pStyle w:val="4"/>
              <w:jc w:val="center"/>
            </w:pPr>
            <w:r>
              <w:t>编号</w:t>
            </w:r>
          </w:p>
        </w:tc>
        <w:tc>
          <w:tcPr>
            <w:tcW w:w="2076" w:type="dxa"/>
          </w:tcPr>
          <w:p>
            <w:pPr>
              <w:pStyle w:val="4"/>
              <w:jc w:val="center"/>
            </w:pPr>
            <w:r>
              <w:t>内容明细</w:t>
            </w:r>
          </w:p>
        </w:tc>
        <w:tc>
          <w:tcPr>
            <w:tcW w:w="2076" w:type="dxa"/>
          </w:tcPr>
          <w:p>
            <w:pPr>
              <w:pStyle w:val="4"/>
              <w:jc w:val="center"/>
            </w:pPr>
            <w:r>
              <w:t>内容说明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2076" w:type="dxa"/>
          </w:tcPr>
          <w:p/>
        </w:tc>
        <w:tc>
          <w:tcPr>
            <w:tcW w:w="2076" w:type="dxa"/>
            <w:gridSpan w:val="2"/>
          </w:tcPr>
          <w:p>
            <w:pPr>
              <w:pStyle w:val="4"/>
              <w:jc w:val="center"/>
            </w:pPr>
            <w:r>
              <w:t>1</w:t>
            </w:r>
          </w:p>
        </w:tc>
        <w:tc>
          <w:tcPr>
            <w:tcW w:w="2076" w:type="dxa"/>
          </w:tcPr>
          <w:p>
            <w:pPr>
              <w:pStyle w:val="4"/>
              <w:jc w:val="left"/>
            </w:pPr>
            <w:r>
              <w:t>实施要求</w:t>
            </w:r>
          </w:p>
        </w:tc>
        <w:tc>
          <w:tcPr>
            <w:tcW w:w="2076" w:type="dxa"/>
          </w:tcPr>
          <w:p>
            <w:pPr>
              <w:pStyle w:val="4"/>
              <w:jc w:val="left"/>
            </w:pPr>
            <w:r>
              <w:t>1、项目实施必须由中标人负责，不准分包，并实行“三包”：包质量、包工期、包实施安全。 2、中标人须针对本项目提出项目工期计划、项目实施计划； 3、中标人须针对本项目各阶段进行管理，制定实施计划管理、项目质量管理计划、项目风险管理计划； 4、中标人须保证按时安全交付，对本项目制定工期保障措施、安全生产保障措施、文明措施； 5、中标人须确保最终按照招标方规定的工期保质保量的完成。合同履行期限为双方自合同签订之日起1年。 ①项目工期计划：包括合理的时间规划，在项目启动阶段，必须做好详细的时间规划，明确每一个关键任务的开始和结束时间，制订合理的工期计划，并通过比较方法对其进行审查和最终确定。 ②项目实施计划：包括明确的项目目标和范围、详细的项目计划、明确的资源分配、有效的风险管理以及项目的评估和监控等方面，最终实现项目的成功完成。 ③项目实施计划管理：为保证顺利进行实施，应具备科学、合理、切实可行的实施计划。 ④项目质量管理计划：包含对项目计划、组织、控制和监督的方式，确保项目交付的成果满足质量要求，同时计划应包括项目质量目标、质量计划、质量保证和质量控制等方面的内容。 ⑤项目风险管理计划：包含对潜在或实际的风险进行识别、评估、规划和控制的过程。其目的是最大限度地减少项目风险的影响，确保项目能够按计划完成。 6、现场的管理：中标人在项目实施过程中应服从采购人现场代表或监理代表的统一管理和监督检查。 7、项目现场工作和生活条件由中标人自行解决。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2076" w:type="dxa"/>
          </w:tcPr>
          <w:p/>
        </w:tc>
        <w:tc>
          <w:tcPr>
            <w:tcW w:w="2076" w:type="dxa"/>
            <w:gridSpan w:val="2"/>
          </w:tcPr>
          <w:p>
            <w:pPr>
              <w:pStyle w:val="4"/>
              <w:jc w:val="center"/>
            </w:pPr>
            <w:r>
              <w:t>2</w:t>
            </w:r>
          </w:p>
        </w:tc>
        <w:tc>
          <w:tcPr>
            <w:tcW w:w="2076" w:type="dxa"/>
          </w:tcPr>
          <w:p>
            <w:pPr>
              <w:pStyle w:val="4"/>
              <w:jc w:val="left"/>
            </w:pPr>
            <w:r>
              <w:t>免费服务期</w:t>
            </w:r>
          </w:p>
        </w:tc>
        <w:tc>
          <w:tcPr>
            <w:tcW w:w="2076" w:type="dxa"/>
          </w:tcPr>
          <w:p>
            <w:pPr>
              <w:pStyle w:val="4"/>
              <w:jc w:val="left"/>
            </w:pPr>
            <w:r>
              <w:t>1.本项目的免费质保期为自本项目整体验收，双方签字之日起，软件不少于2年、硬件不少于3年的免费维护服务（人为因素除外），软件缺陷终生免费修复。 2.提供不少于2名驻场人员工作日时间的服务。 3.标准电话技术支持(7天x24小时x365 天)，服务期内乙方接到报障通知后 30 分钟内响应，2小时内到达现场，除特殊情况外，故障排除时间不超过24 小时。当设备出现的故障处理完毕后，在3个工作日内向甲方提供书面故障报告。保修期内，所有设备、软件维修服务均为上门服务，由此产生的费用均不再收取。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2076" w:type="dxa"/>
          </w:tcPr>
          <w:p>
            <w:pPr>
              <w:pStyle w:val="4"/>
              <w:jc w:val="center"/>
            </w:pPr>
            <w:r>
              <w:t>★</w:t>
            </w:r>
          </w:p>
        </w:tc>
        <w:tc>
          <w:tcPr>
            <w:tcW w:w="2076" w:type="dxa"/>
            <w:gridSpan w:val="2"/>
          </w:tcPr>
          <w:p>
            <w:pPr>
              <w:pStyle w:val="4"/>
              <w:jc w:val="center"/>
            </w:pPr>
            <w:r>
              <w:t>3</w:t>
            </w:r>
          </w:p>
        </w:tc>
        <w:tc>
          <w:tcPr>
            <w:tcW w:w="2076" w:type="dxa"/>
          </w:tcPr>
          <w:p>
            <w:pPr>
              <w:pStyle w:val="4"/>
              <w:jc w:val="left"/>
            </w:pPr>
            <w:r>
              <w:t>★保密要求</w:t>
            </w:r>
          </w:p>
        </w:tc>
        <w:tc>
          <w:tcPr>
            <w:tcW w:w="2076" w:type="dxa"/>
          </w:tcPr>
          <w:p>
            <w:pPr>
              <w:pStyle w:val="4"/>
              <w:jc w:val="left"/>
            </w:pPr>
            <w:r>
              <w:t>中标人必须如约承担合同履行时所应该尽的一切保密义务。中标人对项目实施过程中的资料、数据进行保密，未经采购人书面同意不得泄露，一切保密责任不因合同的中止或解除而失效。投标人提供承诺函（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2076" w:type="dxa"/>
          </w:tcPr>
          <w:p>
            <w:pPr>
              <w:pStyle w:val="4"/>
              <w:jc w:val="center"/>
            </w:pPr>
            <w:r>
              <w:t>★</w:t>
            </w:r>
          </w:p>
        </w:tc>
        <w:tc>
          <w:tcPr>
            <w:tcW w:w="2076" w:type="dxa"/>
            <w:gridSpan w:val="2"/>
          </w:tcPr>
          <w:p>
            <w:pPr>
              <w:pStyle w:val="4"/>
              <w:jc w:val="center"/>
            </w:pPr>
            <w:r>
              <w:t>4</w:t>
            </w:r>
          </w:p>
        </w:tc>
        <w:tc>
          <w:tcPr>
            <w:tcW w:w="2076" w:type="dxa"/>
          </w:tcPr>
          <w:p>
            <w:pPr>
              <w:pStyle w:val="4"/>
              <w:jc w:val="left"/>
            </w:pPr>
            <w:r>
              <w:t>★项目交付要求</w:t>
            </w:r>
          </w:p>
        </w:tc>
        <w:tc>
          <w:tcPr>
            <w:tcW w:w="2076" w:type="dxa"/>
          </w:tcPr>
          <w:p>
            <w:pPr>
              <w:pStyle w:val="4"/>
              <w:jc w:val="left"/>
            </w:pPr>
            <w:r>
              <w:t>项目实施完毕后，中标人须向采购人移交完整使用功能的齐全的正常运行的软硬件系统，不得设置影响正常的使用的功能障碍或密码保护等。否则采购人不予验收不支付余款并追究法律责任。（提供承诺函、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2076" w:type="dxa"/>
          </w:tcPr>
          <w:p>
            <w:pPr>
              <w:pStyle w:val="4"/>
              <w:jc w:val="center"/>
            </w:pPr>
            <w:r>
              <w:t>★</w:t>
            </w:r>
          </w:p>
        </w:tc>
        <w:tc>
          <w:tcPr>
            <w:tcW w:w="2076" w:type="dxa"/>
            <w:gridSpan w:val="2"/>
          </w:tcPr>
          <w:p>
            <w:pPr>
              <w:pStyle w:val="4"/>
              <w:jc w:val="center"/>
            </w:pPr>
            <w:r>
              <w:t>5</w:t>
            </w:r>
          </w:p>
        </w:tc>
        <w:tc>
          <w:tcPr>
            <w:tcW w:w="2076" w:type="dxa"/>
          </w:tcPr>
          <w:p>
            <w:pPr>
              <w:pStyle w:val="4"/>
              <w:jc w:val="left"/>
            </w:pPr>
            <w:r>
              <w:t>★产品所属权</w:t>
            </w:r>
          </w:p>
        </w:tc>
        <w:tc>
          <w:tcPr>
            <w:tcW w:w="2076" w:type="dxa"/>
          </w:tcPr>
          <w:p>
            <w:pPr>
              <w:pStyle w:val="4"/>
              <w:jc w:val="left"/>
            </w:pPr>
            <w:r>
              <w:t>采购人采购的系统或功能模块经验收合格后产品所有权归采购人所有，采购人可以永久免费使用中标人在完成系统开发过程中所形成的所有专利或版权；软件免费维保服务到期后中标人需无条件向采购人提供中标人在本项目二次开发实施相关的完整的全部源代码（不限于接口文档、数据库相关文档、软件程序源代码等）；设备免费维保服务到期后需向采购人移交正常运行的状态良好功能齐全的设备。（提供承诺函、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2076" w:type="dxa"/>
          </w:tcPr>
          <w:p/>
        </w:tc>
        <w:tc>
          <w:tcPr>
            <w:tcW w:w="2076" w:type="dxa"/>
            <w:gridSpan w:val="2"/>
          </w:tcPr>
          <w:p>
            <w:pPr>
              <w:pStyle w:val="4"/>
              <w:jc w:val="center"/>
            </w:pPr>
            <w:r>
              <w:t>6</w:t>
            </w:r>
          </w:p>
        </w:tc>
        <w:tc>
          <w:tcPr>
            <w:tcW w:w="2076" w:type="dxa"/>
          </w:tcPr>
          <w:p>
            <w:pPr>
              <w:pStyle w:val="4"/>
              <w:jc w:val="left"/>
            </w:pPr>
            <w:r>
              <w:t>报价要求</w:t>
            </w:r>
          </w:p>
        </w:tc>
        <w:tc>
          <w:tcPr>
            <w:tcW w:w="2076" w:type="dxa"/>
          </w:tcPr>
          <w:p>
            <w:pPr>
              <w:pStyle w:val="4"/>
              <w:jc w:val="left"/>
            </w:pPr>
            <w:r>
              <w:t>本项目采用总价报价形式，同时投标人应根据技术标准与要求中“1.1本项目采购清单”格式提供分项报价清单，并填报单价及合计金额。投标人所填报单价不得超出下列限价，最终报价不得超出本项目的采购预算金额。否则按投标无效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2076" w:type="dxa"/>
          </w:tcPr>
          <w:p/>
        </w:tc>
        <w:tc>
          <w:tcPr>
            <w:tcW w:w="2076" w:type="dxa"/>
            <w:gridSpan w:val="2"/>
          </w:tcPr>
          <w:p>
            <w:pPr>
              <w:pStyle w:val="4"/>
              <w:jc w:val="center"/>
            </w:pPr>
            <w:r>
              <w:t>7</w:t>
            </w:r>
          </w:p>
        </w:tc>
        <w:tc>
          <w:tcPr>
            <w:tcW w:w="2076" w:type="dxa"/>
          </w:tcPr>
          <w:p>
            <w:pPr>
              <w:pStyle w:val="4"/>
              <w:jc w:val="left"/>
            </w:pPr>
            <w:r>
              <w:t>违约责任</w:t>
            </w:r>
          </w:p>
        </w:tc>
        <w:tc>
          <w:tcPr>
            <w:tcW w:w="2076" w:type="dxa"/>
          </w:tcPr>
          <w:p>
            <w:pPr>
              <w:pStyle w:val="4"/>
              <w:jc w:val="left"/>
            </w:pPr>
            <w:r>
              <w:t>1.未经采购人同意，中标人不得将承包项目发包或转包，否则视为中标人违约，采购人有权解除服务合同。 2.在服务期间，未经采购人同意，中标人不得随意更换派遣员工。否则采购人有权终止合同，并有权拒绝支付本期项目服务费。 3.由于中标人工作失误的原因，造成派遣员工的经济损失，所产生的损失及后果由中标人承担。因中标方业务人员蓄意破坏设备设施、违反规程造成重大事故的，一经查实，则视为中标方严重违约，采购人有权终止合同，责令中标人赔偿损失，情节严重的依法追究其法律责任。 4.若中标人在服务某阶段时期内违反其服务承诺或本招标文件的要求三次或以上，则视为中标方违约，采购人有权拒绝支付本期项目服务费。 5.采购人应按合同支付方式按时支付款项，如因采购人款项支付不及时造成项目工期延误或由此造成其他经济损失的，视为采购人违约。 6.其他违约责任按《中华人民共和国民法典（合同编）》处理。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gridSpan w:val="2"/>
          </w:tcPr>
          <w:p>
            <w:pPr>
              <w:pStyle w:val="4"/>
            </w:pPr>
            <w:r>
              <w:t>说明</w:t>
            </w:r>
          </w:p>
        </w:tc>
        <w:tc>
          <w:tcPr>
            <w:tcW w:w="5538" w:type="dxa"/>
            <w:gridSpan w:val="4"/>
          </w:tcPr>
          <w:p>
            <w:pPr>
              <w:pStyle w:val="4"/>
              <w:jc w:val="left"/>
            </w:pPr>
            <w:r>
              <w:t xml:space="preserve"> 打“★”号条款为实质性条款，若有任何一条负偏离或不满足则导致投标（响应）无效。 </w:t>
            </w:r>
            <w:r>
              <w:br w:type="textWrapping"/>
            </w:r>
            <w:r>
              <w:t>打“▲”号条款为重要参数（如有），若有部分“▲”条款未响应或不满足，将根据评审要求影响其得分，但不作为无效投标（响应）条款。</w:t>
            </w:r>
          </w:p>
        </w:tc>
      </w:tr>
    </w:tbl>
    <w:p>
      <w:pPr>
        <w:pStyle w:val="4"/>
      </w:pPr>
      <w:r>
        <w:rPr>
          <w:b/>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7"/>
        <w:gridCol w:w="827"/>
        <w:gridCol w:w="841"/>
        <w:gridCol w:w="827"/>
        <w:gridCol w:w="859"/>
        <w:gridCol w:w="1380"/>
        <w:gridCol w:w="1380"/>
        <w:gridCol w:w="753"/>
        <w:gridCol w:w="8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33" w:type="dxa"/>
          </w:tcPr>
          <w:p>
            <w:pPr>
              <w:pStyle w:val="4"/>
              <w:jc w:val="center"/>
            </w:pPr>
            <w:r>
              <w:t>序号</w:t>
            </w:r>
          </w:p>
        </w:tc>
        <w:tc>
          <w:tcPr>
            <w:tcW w:w="933" w:type="dxa"/>
          </w:tcPr>
          <w:p>
            <w:pPr>
              <w:pStyle w:val="4"/>
              <w:jc w:val="center"/>
            </w:pPr>
            <w:r>
              <w:t>品目名称</w:t>
            </w:r>
          </w:p>
        </w:tc>
        <w:tc>
          <w:tcPr>
            <w:tcW w:w="933" w:type="dxa"/>
          </w:tcPr>
          <w:p>
            <w:pPr>
              <w:pStyle w:val="4"/>
              <w:jc w:val="center"/>
            </w:pPr>
            <w:r>
              <w:t>标的名称</w:t>
            </w:r>
          </w:p>
        </w:tc>
        <w:tc>
          <w:tcPr>
            <w:tcW w:w="933" w:type="dxa"/>
          </w:tcPr>
          <w:p>
            <w:pPr>
              <w:pStyle w:val="4"/>
              <w:jc w:val="center"/>
            </w:pPr>
            <w:r>
              <w:t>单位</w:t>
            </w:r>
          </w:p>
        </w:tc>
        <w:tc>
          <w:tcPr>
            <w:tcW w:w="933" w:type="dxa"/>
          </w:tcPr>
          <w:p>
            <w:pPr>
              <w:pStyle w:val="4"/>
              <w:jc w:val="center"/>
            </w:pPr>
            <w:r>
              <w:t>数量</w:t>
            </w:r>
          </w:p>
        </w:tc>
        <w:tc>
          <w:tcPr>
            <w:tcW w:w="933" w:type="dxa"/>
          </w:tcPr>
          <w:p>
            <w:pPr>
              <w:pStyle w:val="4"/>
              <w:jc w:val="center"/>
            </w:pPr>
            <w:r>
              <w:t>分项预算单价（元）</w:t>
            </w:r>
          </w:p>
        </w:tc>
        <w:tc>
          <w:tcPr>
            <w:tcW w:w="933" w:type="dxa"/>
          </w:tcPr>
          <w:p>
            <w:pPr>
              <w:pStyle w:val="4"/>
              <w:jc w:val="center"/>
            </w:pPr>
            <w:r>
              <w:t>分项预算总价（元）</w:t>
            </w:r>
          </w:p>
        </w:tc>
        <w:tc>
          <w:tcPr>
            <w:tcW w:w="840" w:type="dxa"/>
          </w:tcPr>
          <w:p>
            <w:pPr>
              <w:pStyle w:val="4"/>
            </w:pPr>
            <w:r>
              <w:t>所属行业</w:t>
            </w:r>
          </w:p>
        </w:tc>
        <w:tc>
          <w:tcPr>
            <w:tcW w:w="933" w:type="dxa"/>
          </w:tcPr>
          <w:p>
            <w:pPr>
              <w:pStyle w:val="4"/>
              <w:jc w:val="center"/>
            </w:pPr>
            <w: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33" w:type="dxa"/>
          </w:tcPr>
          <w:p>
            <w:pPr>
              <w:pStyle w:val="4"/>
              <w:jc w:val="center"/>
            </w:pPr>
            <w:r>
              <w:t>1</w:t>
            </w:r>
          </w:p>
        </w:tc>
        <w:tc>
          <w:tcPr>
            <w:tcW w:w="933" w:type="dxa"/>
          </w:tcPr>
          <w:p>
            <w:pPr>
              <w:pStyle w:val="4"/>
              <w:jc w:val="left"/>
            </w:pPr>
            <w:r>
              <w:t>基础软件开发服务</w:t>
            </w:r>
          </w:p>
        </w:tc>
        <w:tc>
          <w:tcPr>
            <w:tcW w:w="933" w:type="dxa"/>
          </w:tcPr>
          <w:p>
            <w:pPr>
              <w:pStyle w:val="4"/>
              <w:jc w:val="left"/>
            </w:pPr>
            <w:r>
              <w:t>惠州市第二妇幼保健院HIS系统升级改造项目</w:t>
            </w:r>
          </w:p>
        </w:tc>
        <w:tc>
          <w:tcPr>
            <w:tcW w:w="933" w:type="dxa"/>
          </w:tcPr>
          <w:p>
            <w:pPr>
              <w:pStyle w:val="4"/>
              <w:jc w:val="left"/>
            </w:pPr>
            <w:r>
              <w:t>项</w:t>
            </w:r>
          </w:p>
        </w:tc>
        <w:tc>
          <w:tcPr>
            <w:tcW w:w="933" w:type="dxa"/>
          </w:tcPr>
          <w:p>
            <w:pPr>
              <w:pStyle w:val="4"/>
              <w:jc w:val="right"/>
            </w:pPr>
            <w:r>
              <w:t>1.00</w:t>
            </w:r>
          </w:p>
        </w:tc>
        <w:tc>
          <w:tcPr>
            <w:tcW w:w="933" w:type="dxa"/>
          </w:tcPr>
          <w:p>
            <w:pPr>
              <w:pStyle w:val="4"/>
              <w:jc w:val="right"/>
            </w:pPr>
            <w:r>
              <w:t>17,500,000.00</w:t>
            </w:r>
          </w:p>
        </w:tc>
        <w:tc>
          <w:tcPr>
            <w:tcW w:w="933" w:type="dxa"/>
          </w:tcPr>
          <w:p>
            <w:pPr>
              <w:pStyle w:val="4"/>
              <w:jc w:val="right"/>
            </w:pPr>
            <w:r>
              <w:t>17,500,000.00</w:t>
            </w:r>
          </w:p>
        </w:tc>
        <w:tc>
          <w:tcPr>
            <w:tcW w:w="840" w:type="dxa"/>
          </w:tcPr>
          <w:p>
            <w:pPr>
              <w:pStyle w:val="4"/>
            </w:pPr>
            <w:r>
              <w:t>软件和信息技术服务业</w:t>
            </w:r>
          </w:p>
        </w:tc>
        <w:tc>
          <w:tcPr>
            <w:tcW w:w="933" w:type="dxa"/>
          </w:tcPr>
          <w:p>
            <w:pPr>
              <w:pStyle w:val="4"/>
            </w:pPr>
            <w:r>
              <w:t>详见附表一</w:t>
            </w:r>
          </w:p>
        </w:tc>
      </w:tr>
    </w:tbl>
    <w:p>
      <w:pPr>
        <w:pStyle w:val="4"/>
      </w:pPr>
      <w:r>
        <w:rPr>
          <w:b/>
        </w:rPr>
        <w:t>附表一：惠州市第二妇幼保健院HIS系统升级改造项目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4"/>
        <w:gridCol w:w="416"/>
        <w:gridCol w:w="702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参数性质</w:t>
            </w:r>
          </w:p>
        </w:tc>
        <w:tc>
          <w:tcPr>
            <w:tcW w:w="415" w:type="dxa"/>
          </w:tcPr>
          <w:p>
            <w:pPr>
              <w:pStyle w:val="4"/>
            </w:pPr>
            <w:r>
              <w:t>序号</w:t>
            </w:r>
          </w:p>
        </w:tc>
        <w:tc>
          <w:tcPr>
            <w:tcW w:w="5814" w:type="dxa"/>
          </w:tcPr>
          <w:p>
            <w:pPr>
              <w:pStyle w:val="4"/>
            </w:pPr>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1</w:t>
            </w:r>
          </w:p>
        </w:tc>
        <w:tc>
          <w:tcPr>
            <w:tcW w:w="5814" w:type="dxa"/>
          </w:tcPr>
          <w:p>
            <w:pPr>
              <w:pStyle w:val="4"/>
            </w:pPr>
            <w:r>
              <w:br w:type="textWrapping"/>
            </w:r>
            <w:r>
              <w:t xml:space="preserve">  </w:t>
            </w:r>
          </w:p>
          <w:p>
            <w:pPr>
              <w:pStyle w:val="4"/>
              <w:ind w:left="210" w:firstLine="400"/>
              <w:jc w:val="left"/>
              <w:outlineLvl w:val="2"/>
            </w:pPr>
            <w:r>
              <w:rPr>
                <w:b/>
                <w:color w:val="000000"/>
                <w:sz w:val="32"/>
              </w:rPr>
              <w:t>1.1.本项目采购清单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35"/>
              <w:gridCol w:w="808"/>
              <w:gridCol w:w="218"/>
              <w:gridCol w:w="926"/>
              <w:gridCol w:w="218"/>
              <w:gridCol w:w="384"/>
              <w:gridCol w:w="218"/>
              <w:gridCol w:w="218"/>
              <w:gridCol w:w="218"/>
              <w:gridCol w:w="785"/>
              <w:gridCol w:w="364"/>
              <w:gridCol w:w="453"/>
              <w:gridCol w:w="413"/>
              <w:gridCol w:w="266"/>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b/>
                      <w:sz w:val="21"/>
                    </w:rPr>
                    <w:t>一</w:t>
                  </w:r>
                </w:p>
              </w:tc>
              <w:tc>
                <w:tcPr>
                  <w:tcW w:w="5246" w:type="dxa"/>
                  <w:gridSpan w:val="13"/>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b/>
                      <w:sz w:val="21"/>
                    </w:rPr>
                    <w:t>应用软件开发</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b/>
                      <w:sz w:val="21"/>
                    </w:rPr>
                    <w:t>序号</w:t>
                  </w:r>
                </w:p>
              </w:tc>
              <w:tc>
                <w:tcPr>
                  <w:tcW w:w="80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b/>
                      <w:sz w:val="21"/>
                    </w:rPr>
                    <w:t>分类</w:t>
                  </w:r>
                </w:p>
              </w:tc>
              <w:tc>
                <w:tcPr>
                  <w:tcW w:w="1362"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b/>
                      <w:sz w:val="21"/>
                    </w:rPr>
                    <w:t>子系统</w:t>
                  </w:r>
                </w:p>
              </w:tc>
              <w:tc>
                <w:tcPr>
                  <w:tcW w:w="38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数量</w:t>
                  </w:r>
                </w:p>
              </w:tc>
              <w:tc>
                <w:tcPr>
                  <w:tcW w:w="654"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单位</w:t>
                  </w:r>
                </w:p>
              </w:tc>
              <w:tc>
                <w:tcPr>
                  <w:tcW w:w="54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限价（万元）</w:t>
                  </w:r>
                </w:p>
              </w:tc>
              <w:tc>
                <w:tcPr>
                  <w:tcW w:w="36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品牌</w:t>
                  </w:r>
                </w:p>
              </w:tc>
              <w:tc>
                <w:tcPr>
                  <w:tcW w:w="45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版本号</w:t>
                  </w:r>
                </w:p>
              </w:tc>
              <w:tc>
                <w:tcPr>
                  <w:tcW w:w="41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报价</w:t>
                  </w:r>
                </w:p>
              </w:tc>
              <w:tc>
                <w:tcPr>
                  <w:tcW w:w="266"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35" w:type="dxa"/>
                  <w:vMerge w:val="restart"/>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sz w:val="21"/>
                    </w:rPr>
                    <w:t>1</w:t>
                  </w:r>
                </w:p>
              </w:tc>
              <w:tc>
                <w:tcPr>
                  <w:tcW w:w="808" w:type="dxa"/>
                  <w:vMerge w:val="restart"/>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sz w:val="21"/>
                    </w:rPr>
                    <w:t>基础管理</w:t>
                  </w: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基础数据管理平台</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7.35</w:t>
                  </w:r>
                </w:p>
              </w:tc>
              <w:tc>
                <w:tcPr>
                  <w:tcW w:w="36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45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41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266"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35" w:type="dxa"/>
                  <w:vMerge w:val="continue"/>
                  <w:tcBorders>
                    <w:top w:val="nil"/>
                    <w:left w:val="single" w:color="000000" w:sz="4" w:space="0"/>
                    <w:bottom w:val="single" w:color="000000" w:sz="4" w:space="0"/>
                    <w:right w:val="single" w:color="000000" w:sz="4" w:space="0"/>
                  </w:tcBorders>
                </w:tcPr>
                <w:p/>
              </w:tc>
              <w:tc>
                <w:tcPr>
                  <w:tcW w:w="808" w:type="dxa"/>
                  <w:vMerge w:val="continue"/>
                  <w:tcBorders>
                    <w:top w:val="nil"/>
                    <w:left w:val="nil"/>
                    <w:bottom w:val="single" w:color="000000" w:sz="4" w:space="0"/>
                    <w:right w:val="single" w:color="000000" w:sz="4" w:space="0"/>
                  </w:tcBorders>
                </w:tcP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基础平台</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6.3</w:t>
                  </w:r>
                </w:p>
              </w:tc>
              <w:tc>
                <w:tcPr>
                  <w:tcW w:w="36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45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41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266"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restart"/>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sz w:val="21"/>
                    </w:rPr>
                    <w:t>2</w:t>
                  </w:r>
                </w:p>
              </w:tc>
              <w:tc>
                <w:tcPr>
                  <w:tcW w:w="808" w:type="dxa"/>
                  <w:vMerge w:val="restart"/>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门(急)诊管理</w:t>
                  </w: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一卡通管理系统</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5.44</w:t>
                  </w:r>
                </w:p>
              </w:tc>
              <w:tc>
                <w:tcPr>
                  <w:tcW w:w="36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45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41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266"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nil"/>
                    <w:left w:val="single" w:color="000000" w:sz="4" w:space="0"/>
                    <w:bottom w:val="single" w:color="000000" w:sz="4" w:space="0"/>
                    <w:right w:val="single" w:color="000000" w:sz="4" w:space="0"/>
                  </w:tcBorders>
                </w:tcPr>
                <w:p/>
              </w:tc>
              <w:tc>
                <w:tcPr>
                  <w:tcW w:w="808" w:type="dxa"/>
                  <w:vMerge w:val="continue"/>
                  <w:tcBorders>
                    <w:top w:val="nil"/>
                    <w:left w:val="nil"/>
                    <w:bottom w:val="single" w:color="000000" w:sz="4" w:space="0"/>
                    <w:right w:val="single" w:color="000000" w:sz="4" w:space="0"/>
                  </w:tcBorders>
                </w:tcP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门诊预约挂号系统</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9.52</w:t>
                  </w:r>
                </w:p>
              </w:tc>
              <w:tc>
                <w:tcPr>
                  <w:tcW w:w="36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45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41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266"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nil"/>
                    <w:left w:val="single" w:color="000000" w:sz="4" w:space="0"/>
                    <w:bottom w:val="single" w:color="000000" w:sz="4" w:space="0"/>
                    <w:right w:val="single" w:color="000000" w:sz="4" w:space="0"/>
                  </w:tcBorders>
                </w:tcPr>
                <w:p/>
              </w:tc>
              <w:tc>
                <w:tcPr>
                  <w:tcW w:w="808" w:type="dxa"/>
                  <w:vMerge w:val="continue"/>
                  <w:tcBorders>
                    <w:top w:val="nil"/>
                    <w:left w:val="nil"/>
                    <w:bottom w:val="single" w:color="000000" w:sz="4" w:space="0"/>
                    <w:right w:val="single" w:color="000000" w:sz="4" w:space="0"/>
                  </w:tcBorders>
                </w:tcP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急诊预检分诊系统</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10.88</w:t>
                  </w:r>
                </w:p>
              </w:tc>
              <w:tc>
                <w:tcPr>
                  <w:tcW w:w="36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45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41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266"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nil"/>
                    <w:left w:val="single" w:color="000000" w:sz="4" w:space="0"/>
                    <w:bottom w:val="single" w:color="000000" w:sz="4" w:space="0"/>
                    <w:right w:val="single" w:color="000000" w:sz="4" w:space="0"/>
                  </w:tcBorders>
                </w:tcPr>
                <w:p/>
              </w:tc>
              <w:tc>
                <w:tcPr>
                  <w:tcW w:w="808" w:type="dxa"/>
                  <w:vMerge w:val="continue"/>
                  <w:tcBorders>
                    <w:top w:val="nil"/>
                    <w:left w:val="nil"/>
                    <w:bottom w:val="single" w:color="000000" w:sz="4" w:space="0"/>
                    <w:right w:val="single" w:color="000000" w:sz="4" w:space="0"/>
                  </w:tcBorders>
                </w:tcP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门诊分诊排队叫号系统</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5.44</w:t>
                  </w:r>
                </w:p>
              </w:tc>
              <w:tc>
                <w:tcPr>
                  <w:tcW w:w="36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45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41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266"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nil"/>
                    <w:left w:val="single" w:color="000000" w:sz="4" w:space="0"/>
                    <w:bottom w:val="single" w:color="000000" w:sz="4" w:space="0"/>
                    <w:right w:val="single" w:color="000000" w:sz="4" w:space="0"/>
                  </w:tcBorders>
                </w:tcPr>
                <w:p/>
              </w:tc>
              <w:tc>
                <w:tcPr>
                  <w:tcW w:w="808" w:type="dxa"/>
                  <w:vMerge w:val="continue"/>
                  <w:tcBorders>
                    <w:top w:val="nil"/>
                    <w:left w:val="nil"/>
                    <w:bottom w:val="single" w:color="000000" w:sz="4" w:space="0"/>
                    <w:right w:val="single" w:color="000000" w:sz="4" w:space="0"/>
                  </w:tcBorders>
                </w:tcP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门急诊挂号收费系统</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13.6</w:t>
                  </w:r>
                </w:p>
              </w:tc>
              <w:tc>
                <w:tcPr>
                  <w:tcW w:w="36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45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41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266"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nil"/>
                    <w:left w:val="single" w:color="000000" w:sz="4" w:space="0"/>
                    <w:bottom w:val="single" w:color="000000" w:sz="4" w:space="0"/>
                    <w:right w:val="single" w:color="000000" w:sz="4" w:space="0"/>
                  </w:tcBorders>
                </w:tcPr>
                <w:p/>
              </w:tc>
              <w:tc>
                <w:tcPr>
                  <w:tcW w:w="808" w:type="dxa"/>
                  <w:vMerge w:val="continue"/>
                  <w:tcBorders>
                    <w:top w:val="nil"/>
                    <w:left w:val="nil"/>
                    <w:bottom w:val="single" w:color="000000" w:sz="4" w:space="0"/>
                    <w:right w:val="single" w:color="000000" w:sz="4" w:space="0"/>
                  </w:tcBorders>
                </w:tcP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门急诊医生工作站</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11.56</w:t>
                  </w:r>
                </w:p>
              </w:tc>
              <w:tc>
                <w:tcPr>
                  <w:tcW w:w="36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45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41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266"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nil"/>
                    <w:left w:val="single" w:color="000000" w:sz="4" w:space="0"/>
                    <w:bottom w:val="single" w:color="000000" w:sz="4" w:space="0"/>
                    <w:right w:val="single" w:color="000000" w:sz="4" w:space="0"/>
                  </w:tcBorders>
                </w:tcPr>
                <w:p/>
              </w:tc>
              <w:tc>
                <w:tcPr>
                  <w:tcW w:w="808" w:type="dxa"/>
                  <w:vMerge w:val="continue"/>
                  <w:tcBorders>
                    <w:top w:val="nil"/>
                    <w:left w:val="nil"/>
                    <w:bottom w:val="single" w:color="000000" w:sz="4" w:space="0"/>
                    <w:right w:val="single" w:color="000000" w:sz="4" w:space="0"/>
                  </w:tcBorders>
                </w:tcP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门急诊输液管理</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8.16</w:t>
                  </w:r>
                </w:p>
              </w:tc>
              <w:tc>
                <w:tcPr>
                  <w:tcW w:w="36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45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41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266"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35" w:type="dxa"/>
                  <w:vMerge w:val="continue"/>
                  <w:tcBorders>
                    <w:top w:val="nil"/>
                    <w:left w:val="single" w:color="000000" w:sz="4" w:space="0"/>
                    <w:bottom w:val="single" w:color="000000" w:sz="4" w:space="0"/>
                    <w:right w:val="single" w:color="000000" w:sz="4" w:space="0"/>
                  </w:tcBorders>
                </w:tcPr>
                <w:p/>
              </w:tc>
              <w:tc>
                <w:tcPr>
                  <w:tcW w:w="808" w:type="dxa"/>
                  <w:vMerge w:val="continue"/>
                  <w:tcBorders>
                    <w:top w:val="nil"/>
                    <w:left w:val="nil"/>
                    <w:bottom w:val="single" w:color="000000" w:sz="4" w:space="0"/>
                    <w:right w:val="single" w:color="000000" w:sz="4" w:space="0"/>
                  </w:tcBorders>
                </w:tcP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日间手术管理系统</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9.52</w:t>
                  </w:r>
                </w:p>
              </w:tc>
              <w:tc>
                <w:tcPr>
                  <w:tcW w:w="36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45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41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266"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nil"/>
                    <w:left w:val="single" w:color="000000" w:sz="4" w:space="0"/>
                    <w:bottom w:val="single" w:color="000000" w:sz="4" w:space="0"/>
                    <w:right w:val="single" w:color="000000" w:sz="4" w:space="0"/>
                  </w:tcBorders>
                </w:tcPr>
                <w:p/>
              </w:tc>
              <w:tc>
                <w:tcPr>
                  <w:tcW w:w="808" w:type="dxa"/>
                  <w:vMerge w:val="continue"/>
                  <w:tcBorders>
                    <w:top w:val="nil"/>
                    <w:left w:val="nil"/>
                    <w:bottom w:val="single" w:color="000000" w:sz="4" w:space="0"/>
                    <w:right w:val="single" w:color="000000" w:sz="4" w:space="0"/>
                  </w:tcBorders>
                </w:tcP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急诊留观系统</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22.44</w:t>
                  </w:r>
                </w:p>
              </w:tc>
              <w:tc>
                <w:tcPr>
                  <w:tcW w:w="36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45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41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266"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restart"/>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3</w:t>
                  </w:r>
                </w:p>
              </w:tc>
              <w:tc>
                <w:tcPr>
                  <w:tcW w:w="808" w:type="dxa"/>
                  <w:vMerge w:val="restart"/>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住院管理</w:t>
                  </w: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住院收费系统</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22.05</w:t>
                  </w:r>
                </w:p>
              </w:tc>
              <w:tc>
                <w:tcPr>
                  <w:tcW w:w="36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45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41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266"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nil"/>
                    <w:left w:val="single" w:color="000000" w:sz="4" w:space="0"/>
                    <w:bottom w:val="single" w:color="000000" w:sz="4" w:space="0"/>
                    <w:right w:val="single" w:color="000000" w:sz="4" w:space="0"/>
                  </w:tcBorders>
                </w:tcPr>
                <w:p/>
              </w:tc>
              <w:tc>
                <w:tcPr>
                  <w:tcW w:w="808" w:type="dxa"/>
                  <w:vMerge w:val="continue"/>
                  <w:tcBorders>
                    <w:top w:val="nil"/>
                    <w:left w:val="nil"/>
                    <w:bottom w:val="single" w:color="000000" w:sz="4" w:space="0"/>
                    <w:right w:val="single" w:color="000000" w:sz="4" w:space="0"/>
                  </w:tcBorders>
                </w:tcP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住院出入转管理</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21</w:t>
                  </w:r>
                </w:p>
              </w:tc>
              <w:tc>
                <w:tcPr>
                  <w:tcW w:w="36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45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41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266"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nil"/>
                    <w:left w:val="single" w:color="000000" w:sz="4" w:space="0"/>
                    <w:bottom w:val="single" w:color="000000" w:sz="4" w:space="0"/>
                    <w:right w:val="single" w:color="000000" w:sz="4" w:space="0"/>
                  </w:tcBorders>
                </w:tcPr>
                <w:p/>
              </w:tc>
              <w:tc>
                <w:tcPr>
                  <w:tcW w:w="808" w:type="dxa"/>
                  <w:vMerge w:val="continue"/>
                  <w:tcBorders>
                    <w:top w:val="nil"/>
                    <w:left w:val="nil"/>
                    <w:bottom w:val="single" w:color="000000" w:sz="4" w:space="0"/>
                    <w:right w:val="single" w:color="000000" w:sz="4" w:space="0"/>
                  </w:tcBorders>
                </w:tcP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住院医生工作站</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9.45</w:t>
                  </w:r>
                </w:p>
              </w:tc>
              <w:tc>
                <w:tcPr>
                  <w:tcW w:w="36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45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41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266"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nil"/>
                    <w:left w:val="single" w:color="000000" w:sz="4" w:space="0"/>
                    <w:bottom w:val="single" w:color="000000" w:sz="4" w:space="0"/>
                    <w:right w:val="single" w:color="000000" w:sz="4" w:space="0"/>
                  </w:tcBorders>
                </w:tcPr>
                <w:p/>
              </w:tc>
              <w:tc>
                <w:tcPr>
                  <w:tcW w:w="808" w:type="dxa"/>
                  <w:vMerge w:val="continue"/>
                  <w:tcBorders>
                    <w:top w:val="nil"/>
                    <w:left w:val="nil"/>
                    <w:bottom w:val="single" w:color="000000" w:sz="4" w:space="0"/>
                    <w:right w:val="single" w:color="000000" w:sz="4" w:space="0"/>
                  </w:tcBorders>
                </w:tcP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住院护士工作站</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17.85</w:t>
                  </w:r>
                </w:p>
              </w:tc>
              <w:tc>
                <w:tcPr>
                  <w:tcW w:w="36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45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41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266"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nil"/>
                    <w:left w:val="single" w:color="000000" w:sz="4" w:space="0"/>
                    <w:bottom w:val="single" w:color="000000" w:sz="4" w:space="0"/>
                    <w:right w:val="single" w:color="000000" w:sz="4" w:space="0"/>
                  </w:tcBorders>
                </w:tcPr>
                <w:p/>
              </w:tc>
              <w:tc>
                <w:tcPr>
                  <w:tcW w:w="808" w:type="dxa"/>
                  <w:vMerge w:val="continue"/>
                  <w:tcBorders>
                    <w:top w:val="nil"/>
                    <w:left w:val="nil"/>
                    <w:bottom w:val="single" w:color="000000" w:sz="4" w:space="0"/>
                    <w:right w:val="single" w:color="000000" w:sz="4" w:space="0"/>
                  </w:tcBorders>
                </w:tcP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住院静配中心系统</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15.75</w:t>
                  </w:r>
                </w:p>
              </w:tc>
              <w:tc>
                <w:tcPr>
                  <w:tcW w:w="36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45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41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266"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nil"/>
                    <w:left w:val="single" w:color="000000" w:sz="4" w:space="0"/>
                    <w:bottom w:val="single" w:color="000000" w:sz="4" w:space="0"/>
                    <w:right w:val="single" w:color="000000" w:sz="4" w:space="0"/>
                  </w:tcBorders>
                </w:tcPr>
                <w:p/>
              </w:tc>
              <w:tc>
                <w:tcPr>
                  <w:tcW w:w="808" w:type="dxa"/>
                  <w:vMerge w:val="continue"/>
                  <w:tcBorders>
                    <w:top w:val="nil"/>
                    <w:left w:val="nil"/>
                    <w:bottom w:val="single" w:color="000000" w:sz="4" w:space="0"/>
                    <w:right w:val="single" w:color="000000" w:sz="4" w:space="0"/>
                  </w:tcBorders>
                </w:tcP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住院准备中心系统</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7.35</w:t>
                  </w:r>
                </w:p>
              </w:tc>
              <w:tc>
                <w:tcPr>
                  <w:tcW w:w="36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45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41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266"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restart"/>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4</w:t>
                  </w:r>
                </w:p>
              </w:tc>
              <w:tc>
                <w:tcPr>
                  <w:tcW w:w="808" w:type="dxa"/>
                  <w:vMerge w:val="restart"/>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药品管理</w:t>
                  </w: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门急诊药房管理系统</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13.5</w:t>
                  </w:r>
                </w:p>
              </w:tc>
              <w:tc>
                <w:tcPr>
                  <w:tcW w:w="36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45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41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266"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nil"/>
                    <w:left w:val="single" w:color="000000" w:sz="4" w:space="0"/>
                    <w:bottom w:val="single" w:color="000000" w:sz="4" w:space="0"/>
                    <w:right w:val="single" w:color="000000" w:sz="4" w:space="0"/>
                  </w:tcBorders>
                </w:tcPr>
                <w:p/>
              </w:tc>
              <w:tc>
                <w:tcPr>
                  <w:tcW w:w="808" w:type="dxa"/>
                  <w:vMerge w:val="continue"/>
                  <w:tcBorders>
                    <w:top w:val="nil"/>
                    <w:left w:val="nil"/>
                    <w:bottom w:val="single" w:color="000000" w:sz="4" w:space="0"/>
                    <w:right w:val="single" w:color="000000" w:sz="4" w:space="0"/>
                  </w:tcBorders>
                </w:tcP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住院药房管理系统</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15</w:t>
                  </w:r>
                </w:p>
              </w:tc>
              <w:tc>
                <w:tcPr>
                  <w:tcW w:w="36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45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41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266"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nil"/>
                    <w:left w:val="single" w:color="000000" w:sz="4" w:space="0"/>
                    <w:bottom w:val="single" w:color="000000" w:sz="4" w:space="0"/>
                    <w:right w:val="single" w:color="000000" w:sz="4" w:space="0"/>
                  </w:tcBorders>
                </w:tcPr>
                <w:p/>
              </w:tc>
              <w:tc>
                <w:tcPr>
                  <w:tcW w:w="808" w:type="dxa"/>
                  <w:vMerge w:val="continue"/>
                  <w:tcBorders>
                    <w:top w:val="nil"/>
                    <w:left w:val="nil"/>
                    <w:bottom w:val="single" w:color="000000" w:sz="4" w:space="0"/>
                    <w:right w:val="single" w:color="000000" w:sz="4" w:space="0"/>
                  </w:tcBorders>
                </w:tcP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药库管理系统</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19.5</w:t>
                  </w:r>
                </w:p>
              </w:tc>
              <w:tc>
                <w:tcPr>
                  <w:tcW w:w="36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45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41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266"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restart"/>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5</w:t>
                  </w:r>
                </w:p>
              </w:tc>
              <w:tc>
                <w:tcPr>
                  <w:tcW w:w="808" w:type="dxa"/>
                  <w:vMerge w:val="restart"/>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电子病历</w:t>
                  </w: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结构化病历编辑器</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6</w:t>
                  </w:r>
                </w:p>
              </w:tc>
              <w:tc>
                <w:tcPr>
                  <w:tcW w:w="36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45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41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266"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nil"/>
                    <w:left w:val="single" w:color="000000" w:sz="4" w:space="0"/>
                    <w:bottom w:val="single" w:color="000000" w:sz="4" w:space="0"/>
                    <w:right w:val="single" w:color="000000" w:sz="4" w:space="0"/>
                  </w:tcBorders>
                </w:tcPr>
                <w:p/>
              </w:tc>
              <w:tc>
                <w:tcPr>
                  <w:tcW w:w="808" w:type="dxa"/>
                  <w:vMerge w:val="continue"/>
                  <w:tcBorders>
                    <w:top w:val="nil"/>
                    <w:left w:val="nil"/>
                    <w:bottom w:val="single" w:color="000000" w:sz="4" w:space="0"/>
                    <w:right w:val="single" w:color="000000" w:sz="4" w:space="0"/>
                  </w:tcBorders>
                </w:tcP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门（急）诊电子病历系统</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36</w:t>
                  </w:r>
                </w:p>
              </w:tc>
              <w:tc>
                <w:tcPr>
                  <w:tcW w:w="36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45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41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266"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nil"/>
                    <w:left w:val="single" w:color="000000" w:sz="4" w:space="0"/>
                    <w:bottom w:val="single" w:color="000000" w:sz="4" w:space="0"/>
                    <w:right w:val="single" w:color="000000" w:sz="4" w:space="0"/>
                  </w:tcBorders>
                </w:tcPr>
                <w:p/>
              </w:tc>
              <w:tc>
                <w:tcPr>
                  <w:tcW w:w="808" w:type="dxa"/>
                  <w:vMerge w:val="continue"/>
                  <w:tcBorders>
                    <w:top w:val="nil"/>
                    <w:left w:val="nil"/>
                    <w:bottom w:val="single" w:color="000000" w:sz="4" w:space="0"/>
                    <w:right w:val="single" w:color="000000" w:sz="4" w:space="0"/>
                  </w:tcBorders>
                </w:tcP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住院电子病历系统</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42</w:t>
                  </w:r>
                </w:p>
              </w:tc>
              <w:tc>
                <w:tcPr>
                  <w:tcW w:w="36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45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41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266"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nil"/>
                    <w:left w:val="single" w:color="000000" w:sz="4" w:space="0"/>
                    <w:bottom w:val="single" w:color="000000" w:sz="4" w:space="0"/>
                    <w:right w:val="single" w:color="000000" w:sz="4" w:space="0"/>
                  </w:tcBorders>
                </w:tcPr>
                <w:p/>
              </w:tc>
              <w:tc>
                <w:tcPr>
                  <w:tcW w:w="808" w:type="dxa"/>
                  <w:vMerge w:val="continue"/>
                  <w:tcBorders>
                    <w:top w:val="nil"/>
                    <w:left w:val="nil"/>
                    <w:bottom w:val="single" w:color="000000" w:sz="4" w:space="0"/>
                    <w:right w:val="single" w:color="000000" w:sz="4" w:space="0"/>
                  </w:tcBorders>
                </w:tcP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护理电子病历系统</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24</w:t>
                  </w:r>
                </w:p>
              </w:tc>
              <w:tc>
                <w:tcPr>
                  <w:tcW w:w="36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45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41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266"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nil"/>
                    <w:left w:val="single" w:color="000000" w:sz="4" w:space="0"/>
                    <w:bottom w:val="single" w:color="000000" w:sz="4" w:space="0"/>
                    <w:right w:val="single" w:color="000000" w:sz="4" w:space="0"/>
                  </w:tcBorders>
                </w:tcPr>
                <w:p/>
              </w:tc>
              <w:tc>
                <w:tcPr>
                  <w:tcW w:w="808" w:type="dxa"/>
                  <w:vMerge w:val="continue"/>
                  <w:tcBorders>
                    <w:top w:val="nil"/>
                    <w:left w:val="nil"/>
                    <w:bottom w:val="single" w:color="000000" w:sz="4" w:space="0"/>
                    <w:right w:val="single" w:color="000000" w:sz="4" w:space="0"/>
                  </w:tcBorders>
                </w:tcP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电子病历质控系统</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30</w:t>
                  </w:r>
                </w:p>
              </w:tc>
              <w:tc>
                <w:tcPr>
                  <w:tcW w:w="36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45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41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266"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restart"/>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6</w:t>
                  </w:r>
                </w:p>
              </w:tc>
              <w:tc>
                <w:tcPr>
                  <w:tcW w:w="808" w:type="dxa"/>
                  <w:vMerge w:val="restart"/>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医技管理</w:t>
                  </w: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医技计费管理系统</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15.75</w:t>
                  </w:r>
                </w:p>
              </w:tc>
              <w:tc>
                <w:tcPr>
                  <w:tcW w:w="36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45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41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266"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nil"/>
                    <w:left w:val="single" w:color="000000" w:sz="4" w:space="0"/>
                    <w:bottom w:val="single" w:color="000000" w:sz="4" w:space="0"/>
                    <w:right w:val="single" w:color="000000" w:sz="4" w:space="0"/>
                  </w:tcBorders>
                </w:tcPr>
                <w:p/>
              </w:tc>
              <w:tc>
                <w:tcPr>
                  <w:tcW w:w="808" w:type="dxa"/>
                  <w:vMerge w:val="continue"/>
                  <w:tcBorders>
                    <w:top w:val="nil"/>
                    <w:left w:val="nil"/>
                    <w:bottom w:val="single" w:color="000000" w:sz="4" w:space="0"/>
                    <w:right w:val="single" w:color="000000" w:sz="4" w:space="0"/>
                  </w:tcBorders>
                </w:tcP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手术计费管理系统</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4.5</w:t>
                  </w:r>
                </w:p>
              </w:tc>
              <w:tc>
                <w:tcPr>
                  <w:tcW w:w="36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45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41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266"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nil"/>
                    <w:left w:val="single" w:color="000000" w:sz="4" w:space="0"/>
                    <w:bottom w:val="single" w:color="000000" w:sz="4" w:space="0"/>
                    <w:right w:val="single" w:color="000000" w:sz="4" w:space="0"/>
                  </w:tcBorders>
                </w:tcPr>
                <w:p/>
              </w:tc>
              <w:tc>
                <w:tcPr>
                  <w:tcW w:w="808" w:type="dxa"/>
                  <w:vMerge w:val="continue"/>
                  <w:tcBorders>
                    <w:top w:val="nil"/>
                    <w:left w:val="nil"/>
                    <w:bottom w:val="single" w:color="000000" w:sz="4" w:space="0"/>
                    <w:right w:val="single" w:color="000000" w:sz="4" w:space="0"/>
                  </w:tcBorders>
                </w:tcP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体检系统</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36</w:t>
                  </w:r>
                </w:p>
              </w:tc>
              <w:tc>
                <w:tcPr>
                  <w:tcW w:w="36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45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41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266"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nil"/>
                    <w:left w:val="single" w:color="000000" w:sz="4" w:space="0"/>
                    <w:bottom w:val="single" w:color="000000" w:sz="4" w:space="0"/>
                    <w:right w:val="single" w:color="000000" w:sz="4" w:space="0"/>
                  </w:tcBorders>
                </w:tcPr>
                <w:p/>
              </w:tc>
              <w:tc>
                <w:tcPr>
                  <w:tcW w:w="808" w:type="dxa"/>
                  <w:vMerge w:val="continue"/>
                  <w:tcBorders>
                    <w:top w:val="nil"/>
                    <w:left w:val="nil"/>
                    <w:bottom w:val="single" w:color="000000" w:sz="4" w:space="0"/>
                    <w:right w:val="single" w:color="000000" w:sz="4" w:space="0"/>
                  </w:tcBorders>
                </w:tcP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治疗管理系统</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9</w:t>
                  </w:r>
                </w:p>
              </w:tc>
              <w:tc>
                <w:tcPr>
                  <w:tcW w:w="36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45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41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266"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restart"/>
                  <w:tcBorders>
                    <w:top w:val="nil"/>
                    <w:left w:val="single" w:color="000000" w:sz="4" w:space="0"/>
                    <w:bottom w:val="nil"/>
                    <w:right w:val="single" w:color="000000" w:sz="4" w:space="0"/>
                  </w:tcBorders>
                  <w:tcMar>
                    <w:top w:w="15" w:type="dxa"/>
                    <w:left w:w="15" w:type="dxa"/>
                    <w:bottom w:w="0" w:type="dxa"/>
                    <w:right w:w="15" w:type="dxa"/>
                  </w:tcMar>
                  <w:vAlign w:val="top"/>
                </w:tcPr>
                <w:p>
                  <w:pPr>
                    <w:pStyle w:val="4"/>
                    <w:jc w:val="center"/>
                  </w:pPr>
                  <w:r>
                    <w:rPr>
                      <w:sz w:val="21"/>
                    </w:rPr>
                    <w:t>7</w:t>
                  </w:r>
                </w:p>
              </w:tc>
              <w:tc>
                <w:tcPr>
                  <w:tcW w:w="808" w:type="dxa"/>
                  <w:vMerge w:val="restart"/>
                  <w:tcBorders>
                    <w:top w:val="nil"/>
                    <w:left w:val="nil"/>
                    <w:bottom w:val="nil"/>
                    <w:right w:val="single" w:color="000000" w:sz="4" w:space="0"/>
                  </w:tcBorders>
                  <w:tcMar>
                    <w:top w:w="15" w:type="dxa"/>
                    <w:left w:w="15" w:type="dxa"/>
                    <w:bottom w:w="0" w:type="dxa"/>
                    <w:right w:w="15" w:type="dxa"/>
                  </w:tcMar>
                  <w:vAlign w:val="top"/>
                </w:tcPr>
                <w:p>
                  <w:pPr>
                    <w:pStyle w:val="4"/>
                    <w:jc w:val="center"/>
                  </w:pPr>
                  <w:r>
                    <w:rPr>
                      <w:sz w:val="21"/>
                    </w:rPr>
                    <w:t>医疗管理</w:t>
                  </w: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会诊管理系统</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9</w:t>
                  </w:r>
                </w:p>
              </w:tc>
              <w:tc>
                <w:tcPr>
                  <w:tcW w:w="36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45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41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266"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nil"/>
                    <w:left w:val="single" w:color="000000" w:sz="4" w:space="0"/>
                    <w:bottom w:val="nil"/>
                    <w:right w:val="single" w:color="000000" w:sz="4" w:space="0"/>
                  </w:tcBorders>
                </w:tcPr>
                <w:p/>
              </w:tc>
              <w:tc>
                <w:tcPr>
                  <w:tcW w:w="808" w:type="dxa"/>
                  <w:vMerge w:val="continue"/>
                  <w:tcBorders>
                    <w:top w:val="nil"/>
                    <w:left w:val="nil"/>
                    <w:bottom w:val="nil"/>
                    <w:right w:val="single" w:color="000000" w:sz="4" w:space="0"/>
                  </w:tcBorders>
                </w:tcP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皮试管理系统</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8.4</w:t>
                  </w:r>
                </w:p>
              </w:tc>
              <w:tc>
                <w:tcPr>
                  <w:tcW w:w="36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45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41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266"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nil"/>
                    <w:left w:val="single" w:color="000000" w:sz="4" w:space="0"/>
                    <w:bottom w:val="nil"/>
                    <w:right w:val="single" w:color="000000" w:sz="4" w:space="0"/>
                  </w:tcBorders>
                </w:tcPr>
                <w:p/>
              </w:tc>
              <w:tc>
                <w:tcPr>
                  <w:tcW w:w="808" w:type="dxa"/>
                  <w:vMerge w:val="continue"/>
                  <w:tcBorders>
                    <w:top w:val="nil"/>
                    <w:left w:val="nil"/>
                    <w:bottom w:val="nil"/>
                    <w:right w:val="single" w:color="000000" w:sz="4" w:space="0"/>
                  </w:tcBorders>
                </w:tcP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消息管理平台子系统</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7.2</w:t>
                  </w:r>
                </w:p>
              </w:tc>
              <w:tc>
                <w:tcPr>
                  <w:tcW w:w="36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45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41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266"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nil"/>
                    <w:left w:val="single" w:color="000000" w:sz="4" w:space="0"/>
                    <w:bottom w:val="nil"/>
                    <w:right w:val="single" w:color="000000" w:sz="4" w:space="0"/>
                  </w:tcBorders>
                </w:tcPr>
                <w:p/>
              </w:tc>
              <w:tc>
                <w:tcPr>
                  <w:tcW w:w="808" w:type="dxa"/>
                  <w:vMerge w:val="continue"/>
                  <w:tcBorders>
                    <w:top w:val="nil"/>
                    <w:left w:val="nil"/>
                    <w:bottom w:val="nil"/>
                    <w:right w:val="single" w:color="000000" w:sz="4" w:space="0"/>
                  </w:tcBorders>
                </w:tcP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临床路径管理系统</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12.6</w:t>
                  </w:r>
                </w:p>
              </w:tc>
              <w:tc>
                <w:tcPr>
                  <w:tcW w:w="36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45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41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266"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nil"/>
                    <w:left w:val="single" w:color="000000" w:sz="4" w:space="0"/>
                    <w:bottom w:val="nil"/>
                    <w:right w:val="single" w:color="000000" w:sz="4" w:space="0"/>
                  </w:tcBorders>
                </w:tcPr>
                <w:p/>
              </w:tc>
              <w:tc>
                <w:tcPr>
                  <w:tcW w:w="808" w:type="dxa"/>
                  <w:vMerge w:val="continue"/>
                  <w:tcBorders>
                    <w:top w:val="nil"/>
                    <w:left w:val="nil"/>
                    <w:bottom w:val="nil"/>
                    <w:right w:val="single" w:color="000000" w:sz="4" w:space="0"/>
                  </w:tcBorders>
                </w:tcP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院感管理系统</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16.8</w:t>
                  </w:r>
                </w:p>
              </w:tc>
              <w:tc>
                <w:tcPr>
                  <w:tcW w:w="36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45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41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266"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nil"/>
                    <w:left w:val="single" w:color="000000" w:sz="4" w:space="0"/>
                    <w:bottom w:val="nil"/>
                    <w:right w:val="single" w:color="000000" w:sz="4" w:space="0"/>
                  </w:tcBorders>
                </w:tcPr>
                <w:p/>
              </w:tc>
              <w:tc>
                <w:tcPr>
                  <w:tcW w:w="808" w:type="dxa"/>
                  <w:vMerge w:val="continue"/>
                  <w:tcBorders>
                    <w:top w:val="nil"/>
                    <w:left w:val="nil"/>
                    <w:bottom w:val="nil"/>
                    <w:right w:val="single" w:color="000000" w:sz="4" w:space="0"/>
                  </w:tcBorders>
                </w:tcP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传染病管理上报系统</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21.6</w:t>
                  </w:r>
                </w:p>
              </w:tc>
              <w:tc>
                <w:tcPr>
                  <w:tcW w:w="36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45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41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266"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nil"/>
                    <w:left w:val="single" w:color="000000" w:sz="4" w:space="0"/>
                    <w:bottom w:val="nil"/>
                    <w:right w:val="single" w:color="000000" w:sz="4" w:space="0"/>
                  </w:tcBorders>
                </w:tcPr>
                <w:p/>
              </w:tc>
              <w:tc>
                <w:tcPr>
                  <w:tcW w:w="808" w:type="dxa"/>
                  <w:vMerge w:val="continue"/>
                  <w:tcBorders>
                    <w:top w:val="nil"/>
                    <w:left w:val="nil"/>
                    <w:bottom w:val="nil"/>
                    <w:right w:val="single" w:color="000000" w:sz="4" w:space="0"/>
                  </w:tcBorders>
                </w:tcP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医务管理系统</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7.2</w:t>
                  </w:r>
                </w:p>
              </w:tc>
              <w:tc>
                <w:tcPr>
                  <w:tcW w:w="36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45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41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266"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nil"/>
                    <w:left w:val="single" w:color="000000" w:sz="4" w:space="0"/>
                    <w:bottom w:val="nil"/>
                    <w:right w:val="single" w:color="000000" w:sz="4" w:space="0"/>
                  </w:tcBorders>
                </w:tcPr>
                <w:p/>
              </w:tc>
              <w:tc>
                <w:tcPr>
                  <w:tcW w:w="808" w:type="dxa"/>
                  <w:vMerge w:val="continue"/>
                  <w:tcBorders>
                    <w:top w:val="nil"/>
                    <w:left w:val="nil"/>
                    <w:bottom w:val="nil"/>
                    <w:right w:val="single" w:color="000000" w:sz="4" w:space="0"/>
                  </w:tcBorders>
                </w:tcP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护理管理系统</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24</w:t>
                  </w:r>
                </w:p>
              </w:tc>
              <w:tc>
                <w:tcPr>
                  <w:tcW w:w="36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45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41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266"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nil"/>
                    <w:left w:val="single" w:color="000000" w:sz="4" w:space="0"/>
                    <w:bottom w:val="nil"/>
                    <w:right w:val="single" w:color="000000" w:sz="4" w:space="0"/>
                  </w:tcBorders>
                </w:tcPr>
                <w:p/>
              </w:tc>
              <w:tc>
                <w:tcPr>
                  <w:tcW w:w="808" w:type="dxa"/>
                  <w:vMerge w:val="continue"/>
                  <w:tcBorders>
                    <w:top w:val="nil"/>
                    <w:left w:val="nil"/>
                    <w:bottom w:val="nil"/>
                    <w:right w:val="single" w:color="000000" w:sz="4" w:space="0"/>
                  </w:tcBorders>
                </w:tcP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护理质量管理系统</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9</w:t>
                  </w:r>
                </w:p>
              </w:tc>
              <w:tc>
                <w:tcPr>
                  <w:tcW w:w="36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45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41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266"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nil"/>
                    <w:left w:val="single" w:color="000000" w:sz="4" w:space="0"/>
                    <w:bottom w:val="nil"/>
                    <w:right w:val="single" w:color="000000" w:sz="4" w:space="0"/>
                  </w:tcBorders>
                </w:tcPr>
                <w:p/>
              </w:tc>
              <w:tc>
                <w:tcPr>
                  <w:tcW w:w="808" w:type="dxa"/>
                  <w:vMerge w:val="continue"/>
                  <w:tcBorders>
                    <w:top w:val="nil"/>
                    <w:left w:val="nil"/>
                    <w:bottom w:val="nil"/>
                    <w:right w:val="single" w:color="000000" w:sz="4" w:space="0"/>
                  </w:tcBorders>
                </w:tcP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单病种上报管理系统</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9</w:t>
                  </w:r>
                </w:p>
              </w:tc>
              <w:tc>
                <w:tcPr>
                  <w:tcW w:w="36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45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41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266"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nil"/>
                    <w:left w:val="single" w:color="000000" w:sz="4" w:space="0"/>
                    <w:bottom w:val="nil"/>
                    <w:right w:val="single" w:color="000000" w:sz="4" w:space="0"/>
                  </w:tcBorders>
                </w:tcPr>
                <w:p/>
              </w:tc>
              <w:tc>
                <w:tcPr>
                  <w:tcW w:w="808" w:type="dxa"/>
                  <w:vMerge w:val="continue"/>
                  <w:tcBorders>
                    <w:top w:val="nil"/>
                    <w:left w:val="nil"/>
                    <w:bottom w:val="nil"/>
                    <w:right w:val="single" w:color="000000" w:sz="4" w:space="0"/>
                  </w:tcBorders>
                </w:tcP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过程质量监测与评价系统</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9</w:t>
                  </w:r>
                </w:p>
              </w:tc>
              <w:tc>
                <w:tcPr>
                  <w:tcW w:w="36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45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41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266"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nil"/>
                    <w:left w:val="single" w:color="000000" w:sz="4" w:space="0"/>
                    <w:bottom w:val="nil"/>
                    <w:right w:val="single" w:color="000000" w:sz="4" w:space="0"/>
                  </w:tcBorders>
                </w:tcPr>
                <w:p/>
              </w:tc>
              <w:tc>
                <w:tcPr>
                  <w:tcW w:w="808" w:type="dxa"/>
                  <w:vMerge w:val="continue"/>
                  <w:tcBorders>
                    <w:top w:val="nil"/>
                    <w:left w:val="nil"/>
                    <w:bottom w:val="nil"/>
                    <w:right w:val="single" w:color="000000" w:sz="4" w:space="0"/>
                  </w:tcBorders>
                </w:tcP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抗菌药物管理系统</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7.2</w:t>
                  </w:r>
                </w:p>
              </w:tc>
              <w:tc>
                <w:tcPr>
                  <w:tcW w:w="36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45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41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266"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nil"/>
                    <w:left w:val="single" w:color="000000" w:sz="4" w:space="0"/>
                    <w:bottom w:val="nil"/>
                    <w:right w:val="single" w:color="000000" w:sz="4" w:space="0"/>
                  </w:tcBorders>
                </w:tcPr>
                <w:p/>
              </w:tc>
              <w:tc>
                <w:tcPr>
                  <w:tcW w:w="808" w:type="dxa"/>
                  <w:vMerge w:val="continue"/>
                  <w:tcBorders>
                    <w:top w:val="nil"/>
                    <w:left w:val="nil"/>
                    <w:bottom w:val="nil"/>
                    <w:right w:val="single" w:color="000000" w:sz="4" w:space="0"/>
                  </w:tcBorders>
                </w:tcP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住院病案首页质量控制系统</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19.2</w:t>
                  </w:r>
                </w:p>
              </w:tc>
              <w:tc>
                <w:tcPr>
                  <w:tcW w:w="36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45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41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266"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nil"/>
                    <w:left w:val="single" w:color="000000" w:sz="4" w:space="0"/>
                    <w:bottom w:val="nil"/>
                    <w:right w:val="single" w:color="000000" w:sz="4" w:space="0"/>
                  </w:tcBorders>
                </w:tcPr>
                <w:p/>
              </w:tc>
              <w:tc>
                <w:tcPr>
                  <w:tcW w:w="808" w:type="dxa"/>
                  <w:vMerge w:val="continue"/>
                  <w:tcBorders>
                    <w:top w:val="nil"/>
                    <w:left w:val="nil"/>
                    <w:bottom w:val="nil"/>
                    <w:right w:val="single" w:color="000000" w:sz="4" w:space="0"/>
                  </w:tcBorders>
                </w:tcP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统一叫号系统</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25.2</w:t>
                  </w:r>
                </w:p>
              </w:tc>
              <w:tc>
                <w:tcPr>
                  <w:tcW w:w="36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45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41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266"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nil"/>
                    <w:left w:val="single" w:color="000000" w:sz="4" w:space="0"/>
                    <w:bottom w:val="nil"/>
                    <w:right w:val="single" w:color="000000" w:sz="4" w:space="0"/>
                  </w:tcBorders>
                </w:tcPr>
                <w:p/>
              </w:tc>
              <w:tc>
                <w:tcPr>
                  <w:tcW w:w="808" w:type="dxa"/>
                  <w:vMerge w:val="continue"/>
                  <w:tcBorders>
                    <w:top w:val="nil"/>
                    <w:left w:val="nil"/>
                    <w:bottom w:val="nil"/>
                    <w:right w:val="single" w:color="000000" w:sz="4" w:space="0"/>
                  </w:tcBorders>
                </w:tcP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2"/>
                    </w:rPr>
                    <w:t>疾病上报管理系统</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7.2</w:t>
                  </w:r>
                </w:p>
              </w:tc>
              <w:tc>
                <w:tcPr>
                  <w:tcW w:w="36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45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41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266"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restart"/>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8</w:t>
                  </w:r>
                </w:p>
              </w:tc>
              <w:tc>
                <w:tcPr>
                  <w:tcW w:w="808" w:type="dxa"/>
                  <w:vMerge w:val="restart"/>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财务管理</w:t>
                  </w: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人力资源管理系统</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9</w:t>
                  </w:r>
                </w:p>
              </w:tc>
              <w:tc>
                <w:tcPr>
                  <w:tcW w:w="36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45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41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266"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nil"/>
                    <w:left w:val="single" w:color="000000" w:sz="4" w:space="0"/>
                    <w:bottom w:val="single" w:color="000000" w:sz="4" w:space="0"/>
                    <w:right w:val="single" w:color="000000" w:sz="4" w:space="0"/>
                  </w:tcBorders>
                </w:tcPr>
                <w:p/>
              </w:tc>
              <w:tc>
                <w:tcPr>
                  <w:tcW w:w="808" w:type="dxa"/>
                  <w:vMerge w:val="continue"/>
                  <w:tcBorders>
                    <w:top w:val="nil"/>
                    <w:left w:val="nil"/>
                    <w:bottom w:val="single" w:color="000000" w:sz="4" w:space="0"/>
                    <w:right w:val="single" w:color="000000" w:sz="4" w:space="0"/>
                  </w:tcBorders>
                </w:tcP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财务票据管理</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9</w:t>
                  </w:r>
                </w:p>
              </w:tc>
              <w:tc>
                <w:tcPr>
                  <w:tcW w:w="36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45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41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266"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nil"/>
                    <w:left w:val="single" w:color="000000" w:sz="4" w:space="0"/>
                    <w:bottom w:val="single" w:color="000000" w:sz="4" w:space="0"/>
                    <w:right w:val="single" w:color="000000" w:sz="4" w:space="0"/>
                  </w:tcBorders>
                </w:tcPr>
                <w:p/>
              </w:tc>
              <w:tc>
                <w:tcPr>
                  <w:tcW w:w="808" w:type="dxa"/>
                  <w:vMerge w:val="continue"/>
                  <w:tcBorders>
                    <w:top w:val="nil"/>
                    <w:left w:val="nil"/>
                    <w:bottom w:val="single" w:color="000000" w:sz="4" w:space="0"/>
                    <w:right w:val="single" w:color="000000" w:sz="4" w:space="0"/>
                  </w:tcBorders>
                </w:tcP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成本核算管理系统</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5.4</w:t>
                  </w:r>
                </w:p>
              </w:tc>
              <w:tc>
                <w:tcPr>
                  <w:tcW w:w="36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45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41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266"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nil"/>
                    <w:left w:val="single" w:color="000000" w:sz="4" w:space="0"/>
                    <w:bottom w:val="single" w:color="000000" w:sz="4" w:space="0"/>
                    <w:right w:val="single" w:color="000000" w:sz="4" w:space="0"/>
                  </w:tcBorders>
                </w:tcPr>
                <w:p/>
              </w:tc>
              <w:tc>
                <w:tcPr>
                  <w:tcW w:w="808" w:type="dxa"/>
                  <w:vMerge w:val="continue"/>
                  <w:tcBorders>
                    <w:top w:val="nil"/>
                    <w:left w:val="nil"/>
                    <w:bottom w:val="single" w:color="000000" w:sz="4" w:space="0"/>
                    <w:right w:val="single" w:color="000000" w:sz="4" w:space="0"/>
                  </w:tcBorders>
                </w:tcP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会计核算系统</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16.2</w:t>
                  </w:r>
                </w:p>
              </w:tc>
              <w:tc>
                <w:tcPr>
                  <w:tcW w:w="36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45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41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266"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nil"/>
                    <w:left w:val="single" w:color="000000" w:sz="4" w:space="0"/>
                    <w:bottom w:val="single" w:color="000000" w:sz="4" w:space="0"/>
                    <w:right w:val="single" w:color="000000" w:sz="4" w:space="0"/>
                  </w:tcBorders>
                </w:tcPr>
                <w:p/>
              </w:tc>
              <w:tc>
                <w:tcPr>
                  <w:tcW w:w="808" w:type="dxa"/>
                  <w:vMerge w:val="continue"/>
                  <w:tcBorders>
                    <w:top w:val="nil"/>
                    <w:left w:val="nil"/>
                    <w:bottom w:val="single" w:color="000000" w:sz="4" w:space="0"/>
                    <w:right w:val="single" w:color="000000" w:sz="4" w:space="0"/>
                  </w:tcBorders>
                </w:tcP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固定资产管理系统</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9</w:t>
                  </w:r>
                </w:p>
              </w:tc>
              <w:tc>
                <w:tcPr>
                  <w:tcW w:w="36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45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41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266"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nil"/>
                    <w:left w:val="single" w:color="000000" w:sz="4" w:space="0"/>
                    <w:bottom w:val="single" w:color="000000" w:sz="4" w:space="0"/>
                    <w:right w:val="single" w:color="000000" w:sz="4" w:space="0"/>
                  </w:tcBorders>
                </w:tcPr>
                <w:p/>
              </w:tc>
              <w:tc>
                <w:tcPr>
                  <w:tcW w:w="808" w:type="dxa"/>
                  <w:vMerge w:val="continue"/>
                  <w:tcBorders>
                    <w:top w:val="nil"/>
                    <w:left w:val="nil"/>
                    <w:bottom w:val="single" w:color="000000" w:sz="4" w:space="0"/>
                    <w:right w:val="single" w:color="000000" w:sz="4" w:space="0"/>
                  </w:tcBorders>
                </w:tcP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物资管理系统</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7.2</w:t>
                  </w:r>
                </w:p>
              </w:tc>
              <w:tc>
                <w:tcPr>
                  <w:tcW w:w="36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45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41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266"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nil"/>
                    <w:left w:val="single" w:color="000000" w:sz="4" w:space="0"/>
                    <w:bottom w:val="single" w:color="000000" w:sz="4" w:space="0"/>
                    <w:right w:val="single" w:color="000000" w:sz="4" w:space="0"/>
                  </w:tcBorders>
                </w:tcPr>
                <w:p/>
              </w:tc>
              <w:tc>
                <w:tcPr>
                  <w:tcW w:w="808" w:type="dxa"/>
                  <w:vMerge w:val="continue"/>
                  <w:tcBorders>
                    <w:top w:val="nil"/>
                    <w:left w:val="nil"/>
                    <w:bottom w:val="single" w:color="000000" w:sz="4" w:space="0"/>
                    <w:right w:val="single" w:color="000000" w:sz="4" w:space="0"/>
                  </w:tcBorders>
                </w:tcP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综合查询系统</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19.8</w:t>
                  </w:r>
                </w:p>
              </w:tc>
              <w:tc>
                <w:tcPr>
                  <w:tcW w:w="36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45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41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266"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nil"/>
                    <w:left w:val="single" w:color="000000" w:sz="4" w:space="0"/>
                    <w:bottom w:val="single" w:color="000000" w:sz="4" w:space="0"/>
                    <w:right w:val="single" w:color="000000" w:sz="4" w:space="0"/>
                  </w:tcBorders>
                </w:tcPr>
                <w:p/>
              </w:tc>
              <w:tc>
                <w:tcPr>
                  <w:tcW w:w="808" w:type="dxa"/>
                  <w:vMerge w:val="continue"/>
                  <w:tcBorders>
                    <w:top w:val="nil"/>
                    <w:left w:val="nil"/>
                    <w:bottom w:val="single" w:color="000000" w:sz="4" w:space="0"/>
                    <w:right w:val="single" w:color="000000" w:sz="4" w:space="0"/>
                  </w:tcBorders>
                </w:tcP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统一支付对账系统</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19.5</w:t>
                  </w:r>
                </w:p>
              </w:tc>
              <w:tc>
                <w:tcPr>
                  <w:tcW w:w="36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45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41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266"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restart"/>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9</w:t>
                  </w:r>
                </w:p>
              </w:tc>
              <w:tc>
                <w:tcPr>
                  <w:tcW w:w="808" w:type="dxa"/>
                  <w:vMerge w:val="restart"/>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智慧药学</w:t>
                  </w: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前置审方系统</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27</w:t>
                  </w:r>
                </w:p>
              </w:tc>
              <w:tc>
                <w:tcPr>
                  <w:tcW w:w="36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45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41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266"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nil"/>
                    <w:left w:val="single" w:color="000000" w:sz="4" w:space="0"/>
                    <w:bottom w:val="single" w:color="000000" w:sz="4" w:space="0"/>
                    <w:right w:val="single" w:color="000000" w:sz="4" w:space="0"/>
                  </w:tcBorders>
                </w:tcPr>
                <w:p/>
              </w:tc>
              <w:tc>
                <w:tcPr>
                  <w:tcW w:w="808" w:type="dxa"/>
                  <w:vMerge w:val="continue"/>
                  <w:tcBorders>
                    <w:top w:val="nil"/>
                    <w:left w:val="nil"/>
                    <w:bottom w:val="single" w:color="000000" w:sz="4" w:space="0"/>
                    <w:right w:val="single" w:color="000000" w:sz="4" w:space="0"/>
                  </w:tcBorders>
                </w:tcP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合理用药管理系统</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31.5</w:t>
                  </w:r>
                </w:p>
              </w:tc>
              <w:tc>
                <w:tcPr>
                  <w:tcW w:w="36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45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41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266"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35" w:type="dxa"/>
                  <w:vMerge w:val="continue"/>
                  <w:tcBorders>
                    <w:top w:val="nil"/>
                    <w:left w:val="single" w:color="000000" w:sz="4" w:space="0"/>
                    <w:bottom w:val="single" w:color="000000" w:sz="4" w:space="0"/>
                    <w:right w:val="single" w:color="000000" w:sz="4" w:space="0"/>
                  </w:tcBorders>
                </w:tcPr>
                <w:p/>
              </w:tc>
              <w:tc>
                <w:tcPr>
                  <w:tcW w:w="808" w:type="dxa"/>
                  <w:vMerge w:val="continue"/>
                  <w:tcBorders>
                    <w:top w:val="nil"/>
                    <w:left w:val="nil"/>
                    <w:bottom w:val="single" w:color="000000" w:sz="4" w:space="0"/>
                    <w:right w:val="single" w:color="000000" w:sz="4" w:space="0"/>
                  </w:tcBorders>
                </w:tcP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处方点评系统</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18</w:t>
                  </w:r>
                </w:p>
              </w:tc>
              <w:tc>
                <w:tcPr>
                  <w:tcW w:w="36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45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41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266"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restart"/>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10</w:t>
                  </w:r>
                </w:p>
              </w:tc>
              <w:tc>
                <w:tcPr>
                  <w:tcW w:w="808" w:type="dxa"/>
                  <w:vMerge w:val="restart"/>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患者服务</w:t>
                  </w: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全资源预约平台</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39</w:t>
                  </w:r>
                </w:p>
              </w:tc>
              <w:tc>
                <w:tcPr>
                  <w:tcW w:w="36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45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41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266"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nil"/>
                    <w:left w:val="single" w:color="000000" w:sz="4" w:space="0"/>
                    <w:bottom w:val="single" w:color="000000" w:sz="4" w:space="0"/>
                    <w:right w:val="single" w:color="000000" w:sz="4" w:space="0"/>
                  </w:tcBorders>
                </w:tcPr>
                <w:p/>
              </w:tc>
              <w:tc>
                <w:tcPr>
                  <w:tcW w:w="808" w:type="dxa"/>
                  <w:vMerge w:val="continue"/>
                  <w:tcBorders>
                    <w:top w:val="nil"/>
                    <w:left w:val="nil"/>
                    <w:bottom w:val="single" w:color="000000" w:sz="4" w:space="0"/>
                    <w:right w:val="single" w:color="000000" w:sz="4" w:space="0"/>
                  </w:tcBorders>
                </w:tcP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互联网医院系统</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31.5</w:t>
                  </w:r>
                </w:p>
              </w:tc>
              <w:tc>
                <w:tcPr>
                  <w:tcW w:w="36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45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41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266"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nil"/>
                    <w:left w:val="single" w:color="000000" w:sz="4" w:space="0"/>
                    <w:bottom w:val="single" w:color="000000" w:sz="4" w:space="0"/>
                    <w:right w:val="single" w:color="000000" w:sz="4" w:space="0"/>
                  </w:tcBorders>
                </w:tcPr>
                <w:p/>
              </w:tc>
              <w:tc>
                <w:tcPr>
                  <w:tcW w:w="808" w:type="dxa"/>
                  <w:vMerge w:val="continue"/>
                  <w:tcBorders>
                    <w:top w:val="nil"/>
                    <w:left w:val="nil"/>
                    <w:bottom w:val="single" w:color="000000" w:sz="4" w:space="0"/>
                    <w:right w:val="single" w:color="000000" w:sz="4" w:space="0"/>
                  </w:tcBorders>
                </w:tcP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移动公众号服务平台（含网约护士）</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22.5</w:t>
                  </w:r>
                </w:p>
              </w:tc>
              <w:tc>
                <w:tcPr>
                  <w:tcW w:w="36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45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41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266"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nil"/>
                    <w:left w:val="single" w:color="000000" w:sz="4" w:space="0"/>
                    <w:bottom w:val="single" w:color="000000" w:sz="4" w:space="0"/>
                    <w:right w:val="single" w:color="000000" w:sz="4" w:space="0"/>
                  </w:tcBorders>
                </w:tcPr>
                <w:p/>
              </w:tc>
              <w:tc>
                <w:tcPr>
                  <w:tcW w:w="808" w:type="dxa"/>
                  <w:vMerge w:val="continue"/>
                  <w:tcBorders>
                    <w:top w:val="nil"/>
                    <w:left w:val="nil"/>
                    <w:bottom w:val="single" w:color="000000" w:sz="4" w:space="0"/>
                    <w:right w:val="single" w:color="000000" w:sz="4" w:space="0"/>
                  </w:tcBorders>
                </w:tcP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诊间结算系统</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22.5</w:t>
                  </w:r>
                </w:p>
              </w:tc>
              <w:tc>
                <w:tcPr>
                  <w:tcW w:w="36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45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41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266"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nil"/>
                    <w:left w:val="single" w:color="000000" w:sz="4" w:space="0"/>
                    <w:bottom w:val="single" w:color="000000" w:sz="4" w:space="0"/>
                    <w:right w:val="single" w:color="000000" w:sz="4" w:space="0"/>
                  </w:tcBorders>
                </w:tcPr>
                <w:p/>
              </w:tc>
              <w:tc>
                <w:tcPr>
                  <w:tcW w:w="808" w:type="dxa"/>
                  <w:vMerge w:val="continue"/>
                  <w:tcBorders>
                    <w:top w:val="nil"/>
                    <w:left w:val="nil"/>
                    <w:bottom w:val="single" w:color="000000" w:sz="4" w:space="0"/>
                    <w:right w:val="single" w:color="000000" w:sz="4" w:space="0"/>
                  </w:tcBorders>
                </w:tcP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床旁结算系统</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30</w:t>
                  </w:r>
                </w:p>
              </w:tc>
              <w:tc>
                <w:tcPr>
                  <w:tcW w:w="36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45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41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266"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nil"/>
                    <w:left w:val="single" w:color="000000" w:sz="4" w:space="0"/>
                    <w:bottom w:val="single" w:color="000000" w:sz="4" w:space="0"/>
                    <w:right w:val="single" w:color="000000" w:sz="4" w:space="0"/>
                  </w:tcBorders>
                </w:tcPr>
                <w:p/>
              </w:tc>
              <w:tc>
                <w:tcPr>
                  <w:tcW w:w="808" w:type="dxa"/>
                  <w:vMerge w:val="continue"/>
                  <w:tcBorders>
                    <w:top w:val="nil"/>
                    <w:left w:val="nil"/>
                    <w:bottom w:val="single" w:color="000000" w:sz="4" w:space="0"/>
                    <w:right w:val="single" w:color="000000" w:sz="4" w:space="0"/>
                  </w:tcBorders>
                </w:tcP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院内AR导航系统</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18</w:t>
                  </w:r>
                </w:p>
              </w:tc>
              <w:tc>
                <w:tcPr>
                  <w:tcW w:w="36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45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41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266"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11</w:t>
                  </w:r>
                </w:p>
              </w:tc>
              <w:tc>
                <w:tcPr>
                  <w:tcW w:w="80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医护系统</w:t>
                  </w: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移动医生系统</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36</w:t>
                  </w:r>
                </w:p>
              </w:tc>
              <w:tc>
                <w:tcPr>
                  <w:tcW w:w="36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45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41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266"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b/>
                      <w:sz w:val="21"/>
                    </w:rPr>
                    <w:t>A</w:t>
                  </w:r>
                </w:p>
              </w:tc>
              <w:tc>
                <w:tcPr>
                  <w:tcW w:w="3208" w:type="dxa"/>
                  <w:gridSpan w:val="8"/>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both"/>
                  </w:pPr>
                  <w:r>
                    <w:rPr>
                      <w:b/>
                      <w:sz w:val="21"/>
                    </w:rPr>
                    <w:t>合计</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both"/>
                  </w:pPr>
                  <w:r>
                    <w:rPr>
                      <w:color w:val="000000"/>
                      <w:sz w:val="20"/>
                    </w:rPr>
                    <w:t>1018.61</w:t>
                  </w:r>
                </w:p>
              </w:tc>
              <w:tc>
                <w:tcPr>
                  <w:tcW w:w="36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both"/>
                  </w:pPr>
                </w:p>
              </w:tc>
              <w:tc>
                <w:tcPr>
                  <w:tcW w:w="45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413"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266"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b/>
                      <w:sz w:val="21"/>
                    </w:rPr>
                    <w:t>二</w:t>
                  </w:r>
                </w:p>
              </w:tc>
              <w:tc>
                <w:tcPr>
                  <w:tcW w:w="5246" w:type="dxa"/>
                  <w:gridSpan w:val="1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b/>
                      <w:sz w:val="21"/>
                    </w:rPr>
                    <w:t>接口服务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b/>
                      <w:sz w:val="21"/>
                    </w:rPr>
                    <w:t>序号</w:t>
                  </w:r>
                </w:p>
              </w:tc>
              <w:tc>
                <w:tcPr>
                  <w:tcW w:w="2170" w:type="dxa"/>
                  <w:gridSpan w:val="4"/>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b/>
                      <w:sz w:val="21"/>
                    </w:rPr>
                    <w:t>服务内容</w:t>
                  </w:r>
                </w:p>
              </w:tc>
              <w:tc>
                <w:tcPr>
                  <w:tcW w:w="38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数量</w:t>
                  </w:r>
                </w:p>
              </w:tc>
              <w:tc>
                <w:tcPr>
                  <w:tcW w:w="654"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单位</w:t>
                  </w:r>
                </w:p>
              </w:tc>
              <w:tc>
                <w:tcPr>
                  <w:tcW w:w="54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限价（万元）</w:t>
                  </w:r>
                </w:p>
              </w:tc>
              <w:tc>
                <w:tcPr>
                  <w:tcW w:w="817"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4"/>
                    <w:jc w:val="both"/>
                  </w:pPr>
                  <w:r>
                    <w:rPr>
                      <w:sz w:val="21"/>
                    </w:rPr>
                    <w:t>报价</w:t>
                  </w:r>
                </w:p>
              </w:tc>
              <w:tc>
                <w:tcPr>
                  <w:tcW w:w="679"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4"/>
                    <w:jc w:val="both"/>
                  </w:pPr>
                  <w:r>
                    <w:rPr>
                      <w:sz w:val="21"/>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sz w:val="21"/>
                    </w:rPr>
                    <w:t>1</w:t>
                  </w:r>
                </w:p>
              </w:tc>
              <w:tc>
                <w:tcPr>
                  <w:tcW w:w="2170" w:type="dxa"/>
                  <w:gridSpan w:val="4"/>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国家卫生统计网络直报系统接口</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w:t>
                  </w:r>
                </w:p>
              </w:tc>
              <w:tc>
                <w:tcPr>
                  <w:tcW w:w="817"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67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sz w:val="21"/>
                    </w:rPr>
                    <w:t>2</w:t>
                  </w:r>
                </w:p>
              </w:tc>
              <w:tc>
                <w:tcPr>
                  <w:tcW w:w="2170" w:type="dxa"/>
                  <w:gridSpan w:val="4"/>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广东省远程医疗中心</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w:t>
                  </w:r>
                </w:p>
              </w:tc>
              <w:tc>
                <w:tcPr>
                  <w:tcW w:w="817"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67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sz w:val="21"/>
                    </w:rPr>
                    <w:t>3</w:t>
                  </w:r>
                </w:p>
              </w:tc>
              <w:tc>
                <w:tcPr>
                  <w:tcW w:w="2170" w:type="dxa"/>
                  <w:gridSpan w:val="4"/>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广东省妇幼健康信息平台</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w:t>
                  </w:r>
                </w:p>
              </w:tc>
              <w:tc>
                <w:tcPr>
                  <w:tcW w:w="817"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67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sz w:val="21"/>
                    </w:rPr>
                    <w:t>4</w:t>
                  </w:r>
                </w:p>
              </w:tc>
              <w:tc>
                <w:tcPr>
                  <w:tcW w:w="2170" w:type="dxa"/>
                  <w:gridSpan w:val="4"/>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广东省电子健康码平台</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w:t>
                  </w:r>
                </w:p>
              </w:tc>
              <w:tc>
                <w:tcPr>
                  <w:tcW w:w="817"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67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sz w:val="21"/>
                    </w:rPr>
                    <w:t>5</w:t>
                  </w:r>
                </w:p>
              </w:tc>
              <w:tc>
                <w:tcPr>
                  <w:tcW w:w="2170" w:type="dxa"/>
                  <w:gridSpan w:val="4"/>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与广东省病案系统对接</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w:t>
                  </w:r>
                </w:p>
              </w:tc>
              <w:tc>
                <w:tcPr>
                  <w:tcW w:w="817"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67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sz w:val="21"/>
                    </w:rPr>
                    <w:t>6</w:t>
                  </w:r>
                </w:p>
              </w:tc>
              <w:tc>
                <w:tcPr>
                  <w:tcW w:w="2170" w:type="dxa"/>
                  <w:gridSpan w:val="4"/>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广东省基层医疗卫生机构管理信息系统接口</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w:t>
                  </w:r>
                </w:p>
              </w:tc>
              <w:tc>
                <w:tcPr>
                  <w:tcW w:w="817"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67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sz w:val="21"/>
                    </w:rPr>
                    <w:t>7</w:t>
                  </w:r>
                </w:p>
              </w:tc>
              <w:tc>
                <w:tcPr>
                  <w:tcW w:w="2170" w:type="dxa"/>
                  <w:gridSpan w:val="4"/>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广东省“粤省事”接口</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w:t>
                  </w:r>
                </w:p>
              </w:tc>
              <w:tc>
                <w:tcPr>
                  <w:tcW w:w="817"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67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sz w:val="21"/>
                    </w:rPr>
                    <w:t>8</w:t>
                  </w:r>
                </w:p>
              </w:tc>
              <w:tc>
                <w:tcPr>
                  <w:tcW w:w="2170" w:type="dxa"/>
                  <w:gridSpan w:val="4"/>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广东省财政电子票据系统接口</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w:t>
                  </w:r>
                </w:p>
              </w:tc>
              <w:tc>
                <w:tcPr>
                  <w:tcW w:w="817"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67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sz w:val="21"/>
                    </w:rPr>
                    <w:t>9</w:t>
                  </w:r>
                </w:p>
              </w:tc>
              <w:tc>
                <w:tcPr>
                  <w:tcW w:w="2170" w:type="dxa"/>
                  <w:gridSpan w:val="4"/>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医保电子处方中心“双通道”业务实施两定机构接口</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w:t>
                  </w:r>
                </w:p>
              </w:tc>
              <w:tc>
                <w:tcPr>
                  <w:tcW w:w="817"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67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sz w:val="21"/>
                    </w:rPr>
                    <w:t>10</w:t>
                  </w:r>
                </w:p>
              </w:tc>
              <w:tc>
                <w:tcPr>
                  <w:tcW w:w="2170" w:type="dxa"/>
                  <w:gridSpan w:val="4"/>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广东省检查检验结果互认共享平台</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w:t>
                  </w:r>
                </w:p>
              </w:tc>
              <w:tc>
                <w:tcPr>
                  <w:tcW w:w="817"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67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sz w:val="21"/>
                    </w:rPr>
                    <w:t>11</w:t>
                  </w:r>
                </w:p>
              </w:tc>
              <w:tc>
                <w:tcPr>
                  <w:tcW w:w="2170" w:type="dxa"/>
                  <w:gridSpan w:val="4"/>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广东省食源性疾病病例监测直报接口</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w:t>
                  </w:r>
                </w:p>
              </w:tc>
              <w:tc>
                <w:tcPr>
                  <w:tcW w:w="817"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67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sz w:val="21"/>
                    </w:rPr>
                    <w:t>12</w:t>
                  </w:r>
                </w:p>
              </w:tc>
              <w:tc>
                <w:tcPr>
                  <w:tcW w:w="2170" w:type="dxa"/>
                  <w:gridSpan w:val="4"/>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惠州市区域卫生信息平台</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w:t>
                  </w:r>
                </w:p>
              </w:tc>
              <w:tc>
                <w:tcPr>
                  <w:tcW w:w="817"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67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3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sz w:val="21"/>
                    </w:rPr>
                    <w:t>13</w:t>
                  </w:r>
                </w:p>
              </w:tc>
              <w:tc>
                <w:tcPr>
                  <w:tcW w:w="2170" w:type="dxa"/>
                  <w:gridSpan w:val="4"/>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惠州市医疗保险信息管理系统接口</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w:t>
                  </w:r>
                </w:p>
              </w:tc>
              <w:tc>
                <w:tcPr>
                  <w:tcW w:w="817"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67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sz w:val="21"/>
                    </w:rPr>
                    <w:t>14</w:t>
                  </w:r>
                </w:p>
              </w:tc>
              <w:tc>
                <w:tcPr>
                  <w:tcW w:w="2170" w:type="dxa"/>
                  <w:gridSpan w:val="4"/>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银行pos接口</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w:t>
                  </w:r>
                </w:p>
              </w:tc>
              <w:tc>
                <w:tcPr>
                  <w:tcW w:w="817"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67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sz w:val="21"/>
                    </w:rPr>
                    <w:t>15</w:t>
                  </w:r>
                </w:p>
              </w:tc>
              <w:tc>
                <w:tcPr>
                  <w:tcW w:w="2170" w:type="dxa"/>
                  <w:gridSpan w:val="4"/>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自助机接口</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w:t>
                  </w:r>
                </w:p>
              </w:tc>
              <w:tc>
                <w:tcPr>
                  <w:tcW w:w="817"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67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sz w:val="21"/>
                    </w:rPr>
                    <w:t>18</w:t>
                  </w:r>
                </w:p>
              </w:tc>
              <w:tc>
                <w:tcPr>
                  <w:tcW w:w="2170" w:type="dxa"/>
                  <w:gridSpan w:val="4"/>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院内其他设备接口</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10</w:t>
                  </w:r>
                </w:p>
              </w:tc>
              <w:tc>
                <w:tcPr>
                  <w:tcW w:w="817"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67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sz w:val="21"/>
                    </w:rPr>
                    <w:t>19</w:t>
                  </w:r>
                </w:p>
              </w:tc>
              <w:tc>
                <w:tcPr>
                  <w:tcW w:w="2170" w:type="dxa"/>
                  <w:gridSpan w:val="4"/>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现有医院信息集成平台接口</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113.89</w:t>
                  </w:r>
                </w:p>
              </w:tc>
              <w:tc>
                <w:tcPr>
                  <w:tcW w:w="817"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67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b/>
                      <w:sz w:val="21"/>
                    </w:rPr>
                    <w:t>B</w:t>
                  </w:r>
                </w:p>
              </w:tc>
              <w:tc>
                <w:tcPr>
                  <w:tcW w:w="2990" w:type="dxa"/>
                  <w:gridSpan w:val="7"/>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760"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183.89</w:t>
                  </w:r>
                </w:p>
              </w:tc>
              <w:tc>
                <w:tcPr>
                  <w:tcW w:w="817"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both"/>
                  </w:pPr>
                </w:p>
              </w:tc>
              <w:tc>
                <w:tcPr>
                  <w:tcW w:w="67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b/>
                      <w:sz w:val="21"/>
                    </w:rPr>
                    <w:t>三</w:t>
                  </w:r>
                </w:p>
              </w:tc>
              <w:tc>
                <w:tcPr>
                  <w:tcW w:w="5246" w:type="dxa"/>
                  <w:gridSpan w:val="1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b/>
                      <w:sz w:val="21"/>
                    </w:rPr>
                    <w:t>医院历史数据迁移服务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b/>
                      <w:sz w:val="21"/>
                    </w:rPr>
                    <w:t>序号</w:t>
                  </w:r>
                </w:p>
              </w:tc>
              <w:tc>
                <w:tcPr>
                  <w:tcW w:w="80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b/>
                      <w:sz w:val="21"/>
                    </w:rPr>
                    <w:t>服务项目</w:t>
                  </w:r>
                </w:p>
              </w:tc>
              <w:tc>
                <w:tcPr>
                  <w:tcW w:w="1362"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b/>
                      <w:sz w:val="21"/>
                    </w:rPr>
                    <w:t>服务内容</w:t>
                  </w:r>
                </w:p>
              </w:tc>
              <w:tc>
                <w:tcPr>
                  <w:tcW w:w="38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数量</w:t>
                  </w:r>
                </w:p>
              </w:tc>
              <w:tc>
                <w:tcPr>
                  <w:tcW w:w="654"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单位</w:t>
                  </w:r>
                </w:p>
              </w:tc>
              <w:tc>
                <w:tcPr>
                  <w:tcW w:w="54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限价（万元）</w:t>
                  </w:r>
                </w:p>
              </w:tc>
              <w:tc>
                <w:tcPr>
                  <w:tcW w:w="817"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报价</w:t>
                  </w:r>
                </w:p>
              </w:tc>
              <w:tc>
                <w:tcPr>
                  <w:tcW w:w="679"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80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医院HIS数据迁移</w:t>
                  </w: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包括HIS数据现状分析、继承方式实施、继承后的校验等服务</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5</w:t>
                  </w:r>
                </w:p>
              </w:tc>
              <w:tc>
                <w:tcPr>
                  <w:tcW w:w="817"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67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2</w:t>
                  </w:r>
                </w:p>
              </w:tc>
              <w:tc>
                <w:tcPr>
                  <w:tcW w:w="80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电子病历数据迁移</w:t>
                  </w: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包括电子病历数据现状分析、继承方式实施、继承后的校验等服务</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5</w:t>
                  </w:r>
                </w:p>
              </w:tc>
              <w:tc>
                <w:tcPr>
                  <w:tcW w:w="817"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67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3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3</w:t>
                  </w:r>
                </w:p>
              </w:tc>
              <w:tc>
                <w:tcPr>
                  <w:tcW w:w="80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医院其他系统数据迁移</w:t>
                  </w: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包括其他系统数据现状分析、继承方式实施、继承后的校验等服务</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20</w:t>
                  </w:r>
                </w:p>
              </w:tc>
              <w:tc>
                <w:tcPr>
                  <w:tcW w:w="817"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67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b/>
                      <w:sz w:val="21"/>
                    </w:rPr>
                    <w:t>C</w:t>
                  </w:r>
                </w:p>
              </w:tc>
              <w:tc>
                <w:tcPr>
                  <w:tcW w:w="2990" w:type="dxa"/>
                  <w:gridSpan w:val="7"/>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760"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b/>
                      <w:sz w:val="21"/>
                    </w:rPr>
                    <w:t>30</w:t>
                  </w:r>
                </w:p>
              </w:tc>
              <w:tc>
                <w:tcPr>
                  <w:tcW w:w="817"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67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b/>
                      <w:sz w:val="21"/>
                    </w:rPr>
                    <w:t>四</w:t>
                  </w:r>
                </w:p>
              </w:tc>
              <w:tc>
                <w:tcPr>
                  <w:tcW w:w="5246" w:type="dxa"/>
                  <w:gridSpan w:val="1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b/>
                      <w:sz w:val="21"/>
                    </w:rPr>
                    <w:t>电子病历、互联互通测评支持服务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b/>
                      <w:sz w:val="21"/>
                    </w:rPr>
                    <w:t>序号</w:t>
                  </w:r>
                </w:p>
              </w:tc>
              <w:tc>
                <w:tcPr>
                  <w:tcW w:w="80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b/>
                      <w:sz w:val="21"/>
                    </w:rPr>
                    <w:t>分类</w:t>
                  </w:r>
                </w:p>
              </w:tc>
              <w:tc>
                <w:tcPr>
                  <w:tcW w:w="1362"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b/>
                      <w:sz w:val="21"/>
                    </w:rPr>
                    <w:t>服务内容</w:t>
                  </w:r>
                </w:p>
              </w:tc>
              <w:tc>
                <w:tcPr>
                  <w:tcW w:w="38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数量</w:t>
                  </w:r>
                </w:p>
              </w:tc>
              <w:tc>
                <w:tcPr>
                  <w:tcW w:w="654"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单位</w:t>
                  </w:r>
                </w:p>
              </w:tc>
              <w:tc>
                <w:tcPr>
                  <w:tcW w:w="54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限价（万元）</w:t>
                  </w:r>
                </w:p>
              </w:tc>
              <w:tc>
                <w:tcPr>
                  <w:tcW w:w="817"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报价</w:t>
                  </w:r>
                </w:p>
              </w:tc>
              <w:tc>
                <w:tcPr>
                  <w:tcW w:w="679"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sz w:val="21"/>
                    </w:rPr>
                    <w:t>1</w:t>
                  </w:r>
                </w:p>
              </w:tc>
              <w:tc>
                <w:tcPr>
                  <w:tcW w:w="808" w:type="dxa"/>
                  <w:vMerge w:val="restart"/>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电子病历测评支持服务</w:t>
                  </w: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both"/>
                  </w:pPr>
                  <w:r>
                    <w:rPr>
                      <w:sz w:val="21"/>
                    </w:rPr>
                    <w:t>数据质量工具应用</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1.5</w:t>
                  </w:r>
                </w:p>
              </w:tc>
              <w:tc>
                <w:tcPr>
                  <w:tcW w:w="817"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67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sz w:val="21"/>
                    </w:rPr>
                    <w:t>2</w:t>
                  </w:r>
                </w:p>
              </w:tc>
              <w:tc>
                <w:tcPr>
                  <w:tcW w:w="808" w:type="dxa"/>
                  <w:vMerge w:val="continue"/>
                  <w:tcBorders>
                    <w:top w:val="nil"/>
                    <w:left w:val="nil"/>
                    <w:bottom w:val="single" w:color="000000" w:sz="4" w:space="0"/>
                    <w:right w:val="single" w:color="000000" w:sz="4" w:space="0"/>
                  </w:tcBorders>
                </w:tcP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both"/>
                  </w:pPr>
                  <w:r>
                    <w:rPr>
                      <w:sz w:val="21"/>
                    </w:rPr>
                    <w:t>电子病历评级过程支持服务</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1.5</w:t>
                  </w:r>
                </w:p>
              </w:tc>
              <w:tc>
                <w:tcPr>
                  <w:tcW w:w="817"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67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sz w:val="21"/>
                    </w:rPr>
                    <w:t>3</w:t>
                  </w:r>
                </w:p>
              </w:tc>
              <w:tc>
                <w:tcPr>
                  <w:tcW w:w="808" w:type="dxa"/>
                  <w:vMerge w:val="continue"/>
                  <w:tcBorders>
                    <w:top w:val="nil"/>
                    <w:left w:val="nil"/>
                    <w:bottom w:val="single" w:color="000000" w:sz="4" w:space="0"/>
                    <w:right w:val="single" w:color="000000" w:sz="4" w:space="0"/>
                  </w:tcBorders>
                </w:tcP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both"/>
                  </w:pPr>
                  <w:r>
                    <w:rPr>
                      <w:sz w:val="21"/>
                    </w:rPr>
                    <w:t>项目差距调研分析评估服务</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1.5</w:t>
                  </w:r>
                </w:p>
              </w:tc>
              <w:tc>
                <w:tcPr>
                  <w:tcW w:w="817"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67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sz w:val="21"/>
                    </w:rPr>
                    <w:t>4</w:t>
                  </w:r>
                </w:p>
              </w:tc>
              <w:tc>
                <w:tcPr>
                  <w:tcW w:w="808" w:type="dxa"/>
                  <w:vMerge w:val="continue"/>
                  <w:tcBorders>
                    <w:top w:val="nil"/>
                    <w:left w:val="nil"/>
                    <w:bottom w:val="single" w:color="000000" w:sz="4" w:space="0"/>
                    <w:right w:val="single" w:color="000000" w:sz="4" w:space="0"/>
                  </w:tcBorders>
                </w:tcP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both"/>
                  </w:pPr>
                  <w:r>
                    <w:rPr>
                      <w:sz w:val="21"/>
                    </w:rPr>
                    <w:t>申报材料整理的指导和准备</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1.5</w:t>
                  </w:r>
                </w:p>
              </w:tc>
              <w:tc>
                <w:tcPr>
                  <w:tcW w:w="817"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67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3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sz w:val="21"/>
                    </w:rPr>
                    <w:t>5</w:t>
                  </w:r>
                </w:p>
              </w:tc>
              <w:tc>
                <w:tcPr>
                  <w:tcW w:w="808" w:type="dxa"/>
                  <w:vMerge w:val="continue"/>
                  <w:tcBorders>
                    <w:top w:val="nil"/>
                    <w:left w:val="nil"/>
                    <w:bottom w:val="single" w:color="000000" w:sz="4" w:space="0"/>
                    <w:right w:val="single" w:color="000000" w:sz="4" w:space="0"/>
                  </w:tcBorders>
                </w:tcP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both"/>
                  </w:pPr>
                  <w:r>
                    <w:rPr>
                      <w:sz w:val="21"/>
                    </w:rPr>
                    <w:t>网上申报支持</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w:t>
                  </w:r>
                </w:p>
              </w:tc>
              <w:tc>
                <w:tcPr>
                  <w:tcW w:w="817"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67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sz w:val="21"/>
                    </w:rPr>
                    <w:t>6</w:t>
                  </w:r>
                </w:p>
              </w:tc>
              <w:tc>
                <w:tcPr>
                  <w:tcW w:w="808" w:type="dxa"/>
                  <w:vMerge w:val="continue"/>
                  <w:tcBorders>
                    <w:top w:val="nil"/>
                    <w:left w:val="nil"/>
                    <w:bottom w:val="single" w:color="000000" w:sz="4" w:space="0"/>
                    <w:right w:val="single" w:color="000000" w:sz="4" w:space="0"/>
                  </w:tcBorders>
                </w:tcP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both"/>
                  </w:pPr>
                  <w:r>
                    <w:rPr>
                      <w:sz w:val="21"/>
                    </w:rPr>
                    <w:t>文审答辩支持</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w:t>
                  </w:r>
                </w:p>
              </w:tc>
              <w:tc>
                <w:tcPr>
                  <w:tcW w:w="817"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67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sz w:val="21"/>
                    </w:rPr>
                    <w:t>7</w:t>
                  </w:r>
                </w:p>
              </w:tc>
              <w:tc>
                <w:tcPr>
                  <w:tcW w:w="808" w:type="dxa"/>
                  <w:vMerge w:val="continue"/>
                  <w:tcBorders>
                    <w:top w:val="nil"/>
                    <w:left w:val="nil"/>
                    <w:bottom w:val="single" w:color="000000" w:sz="4" w:space="0"/>
                    <w:right w:val="single" w:color="000000" w:sz="4" w:space="0"/>
                  </w:tcBorders>
                </w:tcP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both"/>
                  </w:pPr>
                  <w:r>
                    <w:rPr>
                      <w:sz w:val="21"/>
                    </w:rPr>
                    <w:t>现场测评支持服务</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w:t>
                  </w:r>
                </w:p>
              </w:tc>
              <w:tc>
                <w:tcPr>
                  <w:tcW w:w="817"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67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sz w:val="21"/>
                    </w:rPr>
                    <w:t>8</w:t>
                  </w:r>
                </w:p>
              </w:tc>
              <w:tc>
                <w:tcPr>
                  <w:tcW w:w="808" w:type="dxa"/>
                  <w:vMerge w:val="restart"/>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互联互通测评支持服务</w:t>
                  </w: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both"/>
                  </w:pPr>
                  <w:r>
                    <w:rPr>
                      <w:sz w:val="21"/>
                    </w:rPr>
                    <w:t>项目差距调研分析评估服务</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w:t>
                  </w:r>
                </w:p>
              </w:tc>
              <w:tc>
                <w:tcPr>
                  <w:tcW w:w="817"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67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sz w:val="21"/>
                    </w:rPr>
                    <w:t>9</w:t>
                  </w:r>
                </w:p>
              </w:tc>
              <w:tc>
                <w:tcPr>
                  <w:tcW w:w="808" w:type="dxa"/>
                  <w:vMerge w:val="continue"/>
                  <w:tcBorders>
                    <w:top w:val="nil"/>
                    <w:left w:val="nil"/>
                    <w:bottom w:val="single" w:color="000000" w:sz="4" w:space="0"/>
                    <w:right w:val="single" w:color="000000" w:sz="4" w:space="0"/>
                  </w:tcBorders>
                </w:tcP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both"/>
                  </w:pPr>
                  <w:r>
                    <w:rPr>
                      <w:sz w:val="21"/>
                    </w:rPr>
                    <w:t>申报材料整理的指导和准备</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w:t>
                  </w:r>
                </w:p>
              </w:tc>
              <w:tc>
                <w:tcPr>
                  <w:tcW w:w="817"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67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sz w:val="21"/>
                    </w:rPr>
                    <w:t>10</w:t>
                  </w:r>
                </w:p>
              </w:tc>
              <w:tc>
                <w:tcPr>
                  <w:tcW w:w="808" w:type="dxa"/>
                  <w:vMerge w:val="continue"/>
                  <w:tcBorders>
                    <w:top w:val="nil"/>
                    <w:left w:val="nil"/>
                    <w:bottom w:val="single" w:color="000000" w:sz="4" w:space="0"/>
                    <w:right w:val="single" w:color="000000" w:sz="4" w:space="0"/>
                  </w:tcBorders>
                </w:tcP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both"/>
                  </w:pPr>
                  <w:r>
                    <w:rPr>
                      <w:sz w:val="21"/>
                    </w:rPr>
                    <w:t>网上申报支持</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w:t>
                  </w:r>
                </w:p>
              </w:tc>
              <w:tc>
                <w:tcPr>
                  <w:tcW w:w="817"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67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sz w:val="21"/>
                    </w:rPr>
                    <w:t>11</w:t>
                  </w:r>
                </w:p>
              </w:tc>
              <w:tc>
                <w:tcPr>
                  <w:tcW w:w="808" w:type="dxa"/>
                  <w:vMerge w:val="continue"/>
                  <w:tcBorders>
                    <w:top w:val="nil"/>
                    <w:left w:val="nil"/>
                    <w:bottom w:val="single" w:color="000000" w:sz="4" w:space="0"/>
                    <w:right w:val="single" w:color="000000" w:sz="4" w:space="0"/>
                  </w:tcBorders>
                </w:tcP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both"/>
                  </w:pPr>
                  <w:r>
                    <w:rPr>
                      <w:sz w:val="21"/>
                    </w:rPr>
                    <w:t>文审答辩支持</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w:t>
                  </w:r>
                </w:p>
              </w:tc>
              <w:tc>
                <w:tcPr>
                  <w:tcW w:w="817"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67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sz w:val="21"/>
                    </w:rPr>
                    <w:t>12</w:t>
                  </w:r>
                </w:p>
              </w:tc>
              <w:tc>
                <w:tcPr>
                  <w:tcW w:w="808" w:type="dxa"/>
                  <w:vMerge w:val="continue"/>
                  <w:tcBorders>
                    <w:top w:val="nil"/>
                    <w:left w:val="nil"/>
                    <w:bottom w:val="single" w:color="000000" w:sz="4" w:space="0"/>
                    <w:right w:val="single" w:color="000000" w:sz="4" w:space="0"/>
                  </w:tcBorders>
                </w:tcPr>
                <w:p/>
              </w:tc>
              <w:tc>
                <w:tcPr>
                  <w:tcW w:w="1362"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both"/>
                  </w:pPr>
                  <w:r>
                    <w:rPr>
                      <w:sz w:val="21"/>
                    </w:rPr>
                    <w:t>现场测评支持服务</w:t>
                  </w:r>
                </w:p>
              </w:tc>
              <w:tc>
                <w:tcPr>
                  <w:tcW w:w="384"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654"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1.5</w:t>
                  </w:r>
                </w:p>
              </w:tc>
              <w:tc>
                <w:tcPr>
                  <w:tcW w:w="817"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67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sz w:val="21"/>
                    </w:rPr>
                    <w:t>D</w:t>
                  </w:r>
                </w:p>
              </w:tc>
              <w:tc>
                <w:tcPr>
                  <w:tcW w:w="3208" w:type="dxa"/>
                  <w:gridSpan w:val="8"/>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54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17.5</w:t>
                  </w:r>
                </w:p>
              </w:tc>
              <w:tc>
                <w:tcPr>
                  <w:tcW w:w="817"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67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b/>
                      <w:sz w:val="21"/>
                    </w:rPr>
                    <w:t>五</w:t>
                  </w:r>
                </w:p>
              </w:tc>
              <w:tc>
                <w:tcPr>
                  <w:tcW w:w="5246" w:type="dxa"/>
                  <w:gridSpan w:val="1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b/>
                      <w:sz w:val="21"/>
                    </w:rPr>
                    <w:t>IT基础设施建设</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both"/>
                  </w:pPr>
                  <w:r>
                    <w:rPr>
                      <w:sz w:val="21"/>
                    </w:rPr>
                    <w:t>序号</w:t>
                  </w:r>
                </w:p>
              </w:tc>
              <w:tc>
                <w:tcPr>
                  <w:tcW w:w="1026"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both"/>
                  </w:pPr>
                  <w:r>
                    <w:rPr>
                      <w:sz w:val="21"/>
                    </w:rPr>
                    <w:t>标的名称</w:t>
                  </w:r>
                </w:p>
              </w:tc>
              <w:tc>
                <w:tcPr>
                  <w:tcW w:w="926"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pPr>
                    <w:pStyle w:val="4"/>
                    <w:ind w:firstLine="420"/>
                    <w:jc w:val="center"/>
                  </w:pPr>
                  <w:r>
                    <w:rPr>
                      <w:sz w:val="21"/>
                    </w:rPr>
                    <w:t>数量</w:t>
                  </w:r>
                </w:p>
              </w:tc>
              <w:tc>
                <w:tcPr>
                  <w:tcW w:w="820"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pPr>
                    <w:pStyle w:val="4"/>
                    <w:ind w:firstLine="420"/>
                    <w:jc w:val="center"/>
                  </w:pPr>
                  <w:r>
                    <w:rPr>
                      <w:sz w:val="21"/>
                    </w:rPr>
                    <w:t>单位</w:t>
                  </w:r>
                </w:p>
              </w:tc>
              <w:tc>
                <w:tcPr>
                  <w:tcW w:w="978"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pPr>
                    <w:pStyle w:val="4"/>
                    <w:ind w:firstLine="420"/>
                    <w:jc w:val="center"/>
                  </w:pPr>
                  <w:r>
                    <w:rPr>
                      <w:sz w:val="21"/>
                    </w:rPr>
                    <w:t>最高限价（万元）</w:t>
                  </w:r>
                </w:p>
              </w:tc>
              <w:tc>
                <w:tcPr>
                  <w:tcW w:w="817"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pPr>
                    <w:pStyle w:val="4"/>
                    <w:ind w:firstLine="420"/>
                    <w:jc w:val="center"/>
                  </w:pPr>
                  <w:r>
                    <w:rPr>
                      <w:sz w:val="21"/>
                    </w:rPr>
                    <w:t>报价</w:t>
                  </w:r>
                </w:p>
              </w:tc>
              <w:tc>
                <w:tcPr>
                  <w:tcW w:w="679"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pPr>
                    <w:pStyle w:val="4"/>
                    <w:ind w:firstLine="420"/>
                    <w:jc w:val="center"/>
                  </w:pPr>
                  <w:r>
                    <w:rPr>
                      <w:sz w:val="21"/>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bottom"/>
                </w:tcPr>
                <w:p>
                  <w:pPr>
                    <w:pStyle w:val="4"/>
                    <w:jc w:val="both"/>
                  </w:pPr>
                  <w:r>
                    <w:rPr>
                      <w:sz w:val="21"/>
                    </w:rPr>
                    <w:t>1</w:t>
                  </w:r>
                </w:p>
              </w:tc>
              <w:tc>
                <w:tcPr>
                  <w:tcW w:w="1026" w:type="dxa"/>
                  <w:gridSpan w:val="2"/>
                  <w:tcBorders>
                    <w:top w:val="nil"/>
                    <w:left w:val="nil"/>
                    <w:bottom w:val="single" w:color="000000" w:sz="4" w:space="0"/>
                    <w:right w:val="single" w:color="000000" w:sz="4" w:space="0"/>
                  </w:tcBorders>
                  <w:tcMar>
                    <w:top w:w="15" w:type="dxa"/>
                    <w:left w:w="15" w:type="dxa"/>
                    <w:bottom w:w="0" w:type="dxa"/>
                    <w:right w:w="15" w:type="dxa"/>
                  </w:tcMar>
                  <w:vAlign w:val="bottom"/>
                </w:tcPr>
                <w:p>
                  <w:pPr>
                    <w:pStyle w:val="4"/>
                    <w:jc w:val="both"/>
                  </w:pPr>
                  <w:r>
                    <w:rPr>
                      <w:sz w:val="21"/>
                    </w:rPr>
                    <w:t>核心业务集群</w:t>
                  </w:r>
                </w:p>
              </w:tc>
              <w:tc>
                <w:tcPr>
                  <w:tcW w:w="926" w:type="dxa"/>
                  <w:tcBorders>
                    <w:top w:val="nil"/>
                    <w:left w:val="nil"/>
                    <w:bottom w:val="single" w:color="000000" w:sz="4" w:space="0"/>
                    <w:right w:val="single" w:color="000000" w:sz="4" w:space="0"/>
                  </w:tcBorders>
                  <w:tcMar>
                    <w:top w:w="15" w:type="dxa"/>
                    <w:left w:w="15" w:type="dxa"/>
                    <w:bottom w:w="0" w:type="dxa"/>
                    <w:right w:w="15" w:type="dxa"/>
                  </w:tcMar>
                  <w:vAlign w:val="bottom"/>
                </w:tcPr>
                <w:p>
                  <w:pPr>
                    <w:pStyle w:val="4"/>
                    <w:ind w:firstLine="420"/>
                    <w:jc w:val="center"/>
                  </w:pPr>
                  <w:r>
                    <w:rPr>
                      <w:sz w:val="21"/>
                    </w:rPr>
                    <w:t>16</w:t>
                  </w:r>
                </w:p>
              </w:tc>
              <w:tc>
                <w:tcPr>
                  <w:tcW w:w="820" w:type="dxa"/>
                  <w:gridSpan w:val="3"/>
                  <w:tcBorders>
                    <w:top w:val="nil"/>
                    <w:left w:val="nil"/>
                    <w:bottom w:val="single" w:color="000000" w:sz="4" w:space="0"/>
                    <w:right w:val="single" w:color="000000" w:sz="4" w:space="0"/>
                  </w:tcBorders>
                  <w:tcMar>
                    <w:top w:w="15" w:type="dxa"/>
                    <w:left w:w="15" w:type="dxa"/>
                    <w:bottom w:w="0" w:type="dxa"/>
                    <w:right w:w="15" w:type="dxa"/>
                  </w:tcMar>
                  <w:vAlign w:val="bottom"/>
                </w:tcPr>
                <w:p>
                  <w:pPr>
                    <w:pStyle w:val="4"/>
                    <w:ind w:firstLine="420"/>
                    <w:jc w:val="center"/>
                  </w:pPr>
                  <w:r>
                    <w:rPr>
                      <w:sz w:val="21"/>
                    </w:rPr>
                    <w:t>台</w:t>
                  </w:r>
                </w:p>
              </w:tc>
              <w:tc>
                <w:tcPr>
                  <w:tcW w:w="978"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ind w:firstLine="440"/>
                    <w:jc w:val="right"/>
                  </w:pPr>
                  <w:r>
                    <w:rPr>
                      <w:sz w:val="22"/>
                    </w:rPr>
                    <w:t>149.6</w:t>
                  </w:r>
                </w:p>
              </w:tc>
              <w:tc>
                <w:tcPr>
                  <w:tcW w:w="817"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67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bottom"/>
                </w:tcPr>
                <w:p>
                  <w:pPr>
                    <w:pStyle w:val="4"/>
                    <w:jc w:val="both"/>
                  </w:pPr>
                  <w:r>
                    <w:rPr>
                      <w:sz w:val="21"/>
                    </w:rPr>
                    <w:t>2</w:t>
                  </w:r>
                </w:p>
              </w:tc>
              <w:tc>
                <w:tcPr>
                  <w:tcW w:w="1026" w:type="dxa"/>
                  <w:gridSpan w:val="2"/>
                  <w:tcBorders>
                    <w:top w:val="nil"/>
                    <w:left w:val="nil"/>
                    <w:bottom w:val="single" w:color="000000" w:sz="4" w:space="0"/>
                    <w:right w:val="single" w:color="000000" w:sz="4" w:space="0"/>
                  </w:tcBorders>
                  <w:tcMar>
                    <w:top w:w="15" w:type="dxa"/>
                    <w:left w:w="15" w:type="dxa"/>
                    <w:bottom w:w="0" w:type="dxa"/>
                    <w:right w:w="15" w:type="dxa"/>
                  </w:tcMar>
                  <w:vAlign w:val="bottom"/>
                </w:tcPr>
                <w:p>
                  <w:pPr>
                    <w:pStyle w:val="4"/>
                    <w:jc w:val="both"/>
                  </w:pPr>
                  <w:r>
                    <w:rPr>
                      <w:sz w:val="21"/>
                    </w:rPr>
                    <w:t>核心业务集群虚拟化软件</w:t>
                  </w:r>
                </w:p>
              </w:tc>
              <w:tc>
                <w:tcPr>
                  <w:tcW w:w="926" w:type="dxa"/>
                  <w:tcBorders>
                    <w:top w:val="nil"/>
                    <w:left w:val="nil"/>
                    <w:bottom w:val="single" w:color="000000" w:sz="4" w:space="0"/>
                    <w:right w:val="single" w:color="000000" w:sz="4" w:space="0"/>
                  </w:tcBorders>
                  <w:tcMar>
                    <w:top w:w="15" w:type="dxa"/>
                    <w:left w:w="15" w:type="dxa"/>
                    <w:bottom w:w="0" w:type="dxa"/>
                    <w:right w:w="15" w:type="dxa"/>
                  </w:tcMar>
                  <w:vAlign w:val="bottom"/>
                </w:tcPr>
                <w:p>
                  <w:pPr>
                    <w:pStyle w:val="4"/>
                    <w:ind w:firstLine="420"/>
                    <w:jc w:val="center"/>
                  </w:pPr>
                  <w:r>
                    <w:rPr>
                      <w:sz w:val="21"/>
                    </w:rPr>
                    <w:t>32</w:t>
                  </w:r>
                </w:p>
              </w:tc>
              <w:tc>
                <w:tcPr>
                  <w:tcW w:w="820" w:type="dxa"/>
                  <w:gridSpan w:val="3"/>
                  <w:tcBorders>
                    <w:top w:val="nil"/>
                    <w:left w:val="nil"/>
                    <w:bottom w:val="single" w:color="000000" w:sz="4" w:space="0"/>
                    <w:right w:val="single" w:color="000000" w:sz="4" w:space="0"/>
                  </w:tcBorders>
                  <w:tcMar>
                    <w:top w:w="15" w:type="dxa"/>
                    <w:left w:w="15" w:type="dxa"/>
                    <w:bottom w:w="0" w:type="dxa"/>
                    <w:right w:w="15" w:type="dxa"/>
                  </w:tcMar>
                  <w:vAlign w:val="bottom"/>
                </w:tcPr>
                <w:p>
                  <w:pPr>
                    <w:pStyle w:val="4"/>
                    <w:ind w:firstLine="420"/>
                    <w:jc w:val="center"/>
                  </w:pPr>
                  <w:r>
                    <w:rPr>
                      <w:sz w:val="21"/>
                    </w:rPr>
                    <w:t>套</w:t>
                  </w:r>
                </w:p>
              </w:tc>
              <w:tc>
                <w:tcPr>
                  <w:tcW w:w="978"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ind w:firstLine="440"/>
                    <w:jc w:val="right"/>
                  </w:pPr>
                  <w:r>
                    <w:rPr>
                      <w:sz w:val="22"/>
                    </w:rPr>
                    <w:t>106.624</w:t>
                  </w:r>
                </w:p>
              </w:tc>
              <w:tc>
                <w:tcPr>
                  <w:tcW w:w="817"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67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bottom"/>
                </w:tcPr>
                <w:p>
                  <w:pPr>
                    <w:pStyle w:val="4"/>
                    <w:jc w:val="both"/>
                  </w:pPr>
                  <w:r>
                    <w:rPr>
                      <w:sz w:val="21"/>
                    </w:rPr>
                    <w:t>3</w:t>
                  </w:r>
                </w:p>
              </w:tc>
              <w:tc>
                <w:tcPr>
                  <w:tcW w:w="1026" w:type="dxa"/>
                  <w:gridSpan w:val="2"/>
                  <w:tcBorders>
                    <w:top w:val="nil"/>
                    <w:left w:val="nil"/>
                    <w:bottom w:val="single" w:color="000000" w:sz="4" w:space="0"/>
                    <w:right w:val="single" w:color="000000" w:sz="4" w:space="0"/>
                  </w:tcBorders>
                  <w:tcMar>
                    <w:top w:w="15" w:type="dxa"/>
                    <w:left w:w="15" w:type="dxa"/>
                    <w:bottom w:w="0" w:type="dxa"/>
                    <w:right w:w="15" w:type="dxa"/>
                  </w:tcMar>
                  <w:vAlign w:val="bottom"/>
                </w:tcPr>
                <w:p>
                  <w:pPr>
                    <w:pStyle w:val="4"/>
                    <w:jc w:val="both"/>
                  </w:pPr>
                  <w:r>
                    <w:rPr>
                      <w:sz w:val="21"/>
                    </w:rPr>
                    <w:t>核心业务集群持续数据保护软件</w:t>
                  </w:r>
                </w:p>
              </w:tc>
              <w:tc>
                <w:tcPr>
                  <w:tcW w:w="926" w:type="dxa"/>
                  <w:tcBorders>
                    <w:top w:val="nil"/>
                    <w:left w:val="nil"/>
                    <w:bottom w:val="single" w:color="000000" w:sz="4" w:space="0"/>
                    <w:right w:val="single" w:color="000000" w:sz="4" w:space="0"/>
                  </w:tcBorders>
                  <w:tcMar>
                    <w:top w:w="15" w:type="dxa"/>
                    <w:left w:w="15" w:type="dxa"/>
                    <w:bottom w:w="0" w:type="dxa"/>
                    <w:right w:w="15" w:type="dxa"/>
                  </w:tcMar>
                  <w:vAlign w:val="bottom"/>
                </w:tcPr>
                <w:p>
                  <w:pPr>
                    <w:pStyle w:val="4"/>
                    <w:ind w:firstLine="420"/>
                    <w:jc w:val="center"/>
                  </w:pPr>
                  <w:r>
                    <w:rPr>
                      <w:sz w:val="21"/>
                    </w:rPr>
                    <w:t>1</w:t>
                  </w:r>
                </w:p>
              </w:tc>
              <w:tc>
                <w:tcPr>
                  <w:tcW w:w="820" w:type="dxa"/>
                  <w:gridSpan w:val="3"/>
                  <w:tcBorders>
                    <w:top w:val="nil"/>
                    <w:left w:val="nil"/>
                    <w:bottom w:val="single" w:color="000000" w:sz="4" w:space="0"/>
                    <w:right w:val="single" w:color="000000" w:sz="4" w:space="0"/>
                  </w:tcBorders>
                  <w:tcMar>
                    <w:top w:w="15" w:type="dxa"/>
                    <w:left w:w="15" w:type="dxa"/>
                    <w:bottom w:w="0" w:type="dxa"/>
                    <w:right w:w="15" w:type="dxa"/>
                  </w:tcMar>
                  <w:vAlign w:val="bottom"/>
                </w:tcPr>
                <w:p>
                  <w:pPr>
                    <w:pStyle w:val="4"/>
                    <w:ind w:firstLine="420"/>
                    <w:jc w:val="center"/>
                  </w:pPr>
                  <w:r>
                    <w:rPr>
                      <w:sz w:val="21"/>
                    </w:rPr>
                    <w:t>套</w:t>
                  </w:r>
                </w:p>
              </w:tc>
              <w:tc>
                <w:tcPr>
                  <w:tcW w:w="978"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ind w:firstLine="440"/>
                    <w:jc w:val="right"/>
                  </w:pPr>
                  <w:r>
                    <w:rPr>
                      <w:sz w:val="22"/>
                    </w:rPr>
                    <w:t>7.0691</w:t>
                  </w:r>
                </w:p>
              </w:tc>
              <w:tc>
                <w:tcPr>
                  <w:tcW w:w="817"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67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bottom"/>
                </w:tcPr>
                <w:p>
                  <w:pPr>
                    <w:pStyle w:val="4"/>
                    <w:jc w:val="both"/>
                  </w:pPr>
                  <w:r>
                    <w:rPr>
                      <w:sz w:val="21"/>
                    </w:rPr>
                    <w:t>4</w:t>
                  </w:r>
                </w:p>
              </w:tc>
              <w:tc>
                <w:tcPr>
                  <w:tcW w:w="1026" w:type="dxa"/>
                  <w:gridSpan w:val="2"/>
                  <w:tcBorders>
                    <w:top w:val="nil"/>
                    <w:left w:val="nil"/>
                    <w:bottom w:val="single" w:color="000000" w:sz="4" w:space="0"/>
                    <w:right w:val="single" w:color="000000" w:sz="4" w:space="0"/>
                  </w:tcBorders>
                  <w:tcMar>
                    <w:top w:w="15" w:type="dxa"/>
                    <w:left w:w="15" w:type="dxa"/>
                    <w:bottom w:w="0" w:type="dxa"/>
                    <w:right w:w="15" w:type="dxa"/>
                  </w:tcMar>
                  <w:vAlign w:val="bottom"/>
                </w:tcPr>
                <w:p>
                  <w:pPr>
                    <w:pStyle w:val="4"/>
                    <w:jc w:val="both"/>
                  </w:pPr>
                  <w:r>
                    <w:rPr>
                      <w:sz w:val="21"/>
                    </w:rPr>
                    <w:t>核心业务集群虚拟化安全组件</w:t>
                  </w:r>
                </w:p>
              </w:tc>
              <w:tc>
                <w:tcPr>
                  <w:tcW w:w="926" w:type="dxa"/>
                  <w:tcBorders>
                    <w:top w:val="nil"/>
                    <w:left w:val="nil"/>
                    <w:bottom w:val="single" w:color="000000" w:sz="4" w:space="0"/>
                    <w:right w:val="single" w:color="000000" w:sz="4" w:space="0"/>
                  </w:tcBorders>
                  <w:tcMar>
                    <w:top w:w="15" w:type="dxa"/>
                    <w:left w:w="15" w:type="dxa"/>
                    <w:bottom w:w="0" w:type="dxa"/>
                    <w:right w:w="15" w:type="dxa"/>
                  </w:tcMar>
                  <w:vAlign w:val="bottom"/>
                </w:tcPr>
                <w:p>
                  <w:pPr>
                    <w:pStyle w:val="4"/>
                    <w:ind w:firstLine="420"/>
                    <w:jc w:val="center"/>
                  </w:pPr>
                  <w:r>
                    <w:rPr>
                      <w:sz w:val="21"/>
                    </w:rPr>
                    <w:t>1</w:t>
                  </w:r>
                </w:p>
              </w:tc>
              <w:tc>
                <w:tcPr>
                  <w:tcW w:w="820" w:type="dxa"/>
                  <w:gridSpan w:val="3"/>
                  <w:tcBorders>
                    <w:top w:val="nil"/>
                    <w:left w:val="nil"/>
                    <w:bottom w:val="single" w:color="000000" w:sz="4" w:space="0"/>
                    <w:right w:val="single" w:color="000000" w:sz="4" w:space="0"/>
                  </w:tcBorders>
                  <w:tcMar>
                    <w:top w:w="15" w:type="dxa"/>
                    <w:left w:w="15" w:type="dxa"/>
                    <w:bottom w:w="0" w:type="dxa"/>
                    <w:right w:w="15" w:type="dxa"/>
                  </w:tcMar>
                  <w:vAlign w:val="bottom"/>
                </w:tcPr>
                <w:p>
                  <w:pPr>
                    <w:pStyle w:val="4"/>
                    <w:ind w:firstLine="420"/>
                    <w:jc w:val="center"/>
                  </w:pPr>
                  <w:r>
                    <w:rPr>
                      <w:sz w:val="21"/>
                    </w:rPr>
                    <w:t>套</w:t>
                  </w:r>
                </w:p>
              </w:tc>
              <w:tc>
                <w:tcPr>
                  <w:tcW w:w="978"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ind w:firstLine="440"/>
                    <w:jc w:val="right"/>
                  </w:pPr>
                  <w:r>
                    <w:rPr>
                      <w:sz w:val="22"/>
                    </w:rPr>
                    <w:t>40.7773</w:t>
                  </w:r>
                </w:p>
              </w:tc>
              <w:tc>
                <w:tcPr>
                  <w:tcW w:w="817"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67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bottom"/>
                </w:tcPr>
                <w:p>
                  <w:pPr>
                    <w:pStyle w:val="4"/>
                    <w:jc w:val="both"/>
                  </w:pPr>
                  <w:r>
                    <w:rPr>
                      <w:sz w:val="21"/>
                    </w:rPr>
                    <w:t>5</w:t>
                  </w:r>
                </w:p>
              </w:tc>
              <w:tc>
                <w:tcPr>
                  <w:tcW w:w="1026" w:type="dxa"/>
                  <w:gridSpan w:val="2"/>
                  <w:tcBorders>
                    <w:top w:val="nil"/>
                    <w:left w:val="nil"/>
                    <w:bottom w:val="single" w:color="000000" w:sz="4" w:space="0"/>
                    <w:right w:val="single" w:color="000000" w:sz="4" w:space="0"/>
                  </w:tcBorders>
                  <w:tcMar>
                    <w:top w:w="15" w:type="dxa"/>
                    <w:left w:w="15" w:type="dxa"/>
                    <w:bottom w:w="0" w:type="dxa"/>
                    <w:right w:w="15" w:type="dxa"/>
                  </w:tcMar>
                  <w:vAlign w:val="bottom"/>
                </w:tcPr>
                <w:p>
                  <w:pPr>
                    <w:pStyle w:val="4"/>
                    <w:jc w:val="both"/>
                  </w:pPr>
                  <w:r>
                    <w:rPr>
                      <w:sz w:val="21"/>
                    </w:rPr>
                    <w:t>核心业务集群—存储交换机</w:t>
                  </w:r>
                </w:p>
              </w:tc>
              <w:tc>
                <w:tcPr>
                  <w:tcW w:w="926" w:type="dxa"/>
                  <w:tcBorders>
                    <w:top w:val="nil"/>
                    <w:left w:val="nil"/>
                    <w:bottom w:val="single" w:color="000000" w:sz="4" w:space="0"/>
                    <w:right w:val="single" w:color="000000" w:sz="4" w:space="0"/>
                  </w:tcBorders>
                  <w:tcMar>
                    <w:top w:w="15" w:type="dxa"/>
                    <w:left w:w="15" w:type="dxa"/>
                    <w:bottom w:w="0" w:type="dxa"/>
                    <w:right w:w="15" w:type="dxa"/>
                  </w:tcMar>
                  <w:vAlign w:val="bottom"/>
                </w:tcPr>
                <w:p>
                  <w:pPr>
                    <w:pStyle w:val="4"/>
                    <w:ind w:firstLine="420"/>
                    <w:jc w:val="center"/>
                  </w:pPr>
                  <w:r>
                    <w:rPr>
                      <w:sz w:val="21"/>
                    </w:rPr>
                    <w:t>2</w:t>
                  </w:r>
                </w:p>
              </w:tc>
              <w:tc>
                <w:tcPr>
                  <w:tcW w:w="820" w:type="dxa"/>
                  <w:gridSpan w:val="3"/>
                  <w:tcBorders>
                    <w:top w:val="nil"/>
                    <w:left w:val="nil"/>
                    <w:bottom w:val="single" w:color="000000" w:sz="4" w:space="0"/>
                    <w:right w:val="single" w:color="000000" w:sz="4" w:space="0"/>
                  </w:tcBorders>
                  <w:tcMar>
                    <w:top w:w="15" w:type="dxa"/>
                    <w:left w:w="15" w:type="dxa"/>
                    <w:bottom w:w="0" w:type="dxa"/>
                    <w:right w:w="15" w:type="dxa"/>
                  </w:tcMar>
                  <w:vAlign w:val="bottom"/>
                </w:tcPr>
                <w:p>
                  <w:pPr>
                    <w:pStyle w:val="4"/>
                    <w:ind w:firstLine="420"/>
                    <w:jc w:val="center"/>
                  </w:pPr>
                  <w:r>
                    <w:rPr>
                      <w:sz w:val="21"/>
                    </w:rPr>
                    <w:t>台</w:t>
                  </w:r>
                </w:p>
              </w:tc>
              <w:tc>
                <w:tcPr>
                  <w:tcW w:w="978"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ind w:firstLine="440"/>
                    <w:jc w:val="right"/>
                  </w:pPr>
                  <w:r>
                    <w:rPr>
                      <w:sz w:val="22"/>
                    </w:rPr>
                    <w:t>6.1424</w:t>
                  </w:r>
                </w:p>
              </w:tc>
              <w:tc>
                <w:tcPr>
                  <w:tcW w:w="817"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67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bottom"/>
                </w:tcPr>
                <w:p>
                  <w:pPr>
                    <w:pStyle w:val="4"/>
                    <w:jc w:val="both"/>
                  </w:pPr>
                  <w:r>
                    <w:rPr>
                      <w:sz w:val="21"/>
                    </w:rPr>
                    <w:t>6</w:t>
                  </w:r>
                </w:p>
              </w:tc>
              <w:tc>
                <w:tcPr>
                  <w:tcW w:w="1026" w:type="dxa"/>
                  <w:gridSpan w:val="2"/>
                  <w:tcBorders>
                    <w:top w:val="nil"/>
                    <w:left w:val="nil"/>
                    <w:bottom w:val="single" w:color="000000" w:sz="4" w:space="0"/>
                    <w:right w:val="single" w:color="000000" w:sz="4" w:space="0"/>
                  </w:tcBorders>
                  <w:tcMar>
                    <w:top w:w="15" w:type="dxa"/>
                    <w:left w:w="15" w:type="dxa"/>
                    <w:bottom w:w="0" w:type="dxa"/>
                    <w:right w:w="15" w:type="dxa"/>
                  </w:tcMar>
                  <w:vAlign w:val="bottom"/>
                </w:tcPr>
                <w:p>
                  <w:pPr>
                    <w:pStyle w:val="4"/>
                    <w:jc w:val="both"/>
                  </w:pPr>
                  <w:r>
                    <w:rPr>
                      <w:sz w:val="21"/>
                    </w:rPr>
                    <w:t>核心业务集群—业务交换机</w:t>
                  </w:r>
                </w:p>
              </w:tc>
              <w:tc>
                <w:tcPr>
                  <w:tcW w:w="926" w:type="dxa"/>
                  <w:tcBorders>
                    <w:top w:val="nil"/>
                    <w:left w:val="nil"/>
                    <w:bottom w:val="single" w:color="000000" w:sz="4" w:space="0"/>
                    <w:right w:val="single" w:color="000000" w:sz="4" w:space="0"/>
                  </w:tcBorders>
                  <w:tcMar>
                    <w:top w:w="15" w:type="dxa"/>
                    <w:left w:w="15" w:type="dxa"/>
                    <w:bottom w:w="0" w:type="dxa"/>
                    <w:right w:w="15" w:type="dxa"/>
                  </w:tcMar>
                  <w:vAlign w:val="bottom"/>
                </w:tcPr>
                <w:p>
                  <w:pPr>
                    <w:pStyle w:val="4"/>
                    <w:ind w:firstLine="420"/>
                    <w:jc w:val="center"/>
                  </w:pPr>
                  <w:r>
                    <w:rPr>
                      <w:sz w:val="21"/>
                    </w:rPr>
                    <w:t>2</w:t>
                  </w:r>
                </w:p>
              </w:tc>
              <w:tc>
                <w:tcPr>
                  <w:tcW w:w="820" w:type="dxa"/>
                  <w:gridSpan w:val="3"/>
                  <w:tcBorders>
                    <w:top w:val="nil"/>
                    <w:left w:val="nil"/>
                    <w:bottom w:val="single" w:color="000000" w:sz="4" w:space="0"/>
                    <w:right w:val="single" w:color="000000" w:sz="4" w:space="0"/>
                  </w:tcBorders>
                  <w:tcMar>
                    <w:top w:w="15" w:type="dxa"/>
                    <w:left w:w="15" w:type="dxa"/>
                    <w:bottom w:w="0" w:type="dxa"/>
                    <w:right w:w="15" w:type="dxa"/>
                  </w:tcMar>
                  <w:vAlign w:val="bottom"/>
                </w:tcPr>
                <w:p>
                  <w:pPr>
                    <w:pStyle w:val="4"/>
                    <w:ind w:firstLine="420"/>
                    <w:jc w:val="center"/>
                  </w:pPr>
                  <w:r>
                    <w:rPr>
                      <w:sz w:val="21"/>
                    </w:rPr>
                    <w:t>台</w:t>
                  </w:r>
                </w:p>
              </w:tc>
              <w:tc>
                <w:tcPr>
                  <w:tcW w:w="978"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ind w:firstLine="440"/>
                    <w:jc w:val="right"/>
                  </w:pPr>
                  <w:r>
                    <w:rPr>
                      <w:sz w:val="22"/>
                    </w:rPr>
                    <w:t>7.1556</w:t>
                  </w:r>
                </w:p>
              </w:tc>
              <w:tc>
                <w:tcPr>
                  <w:tcW w:w="817"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67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bottom"/>
                </w:tcPr>
                <w:p>
                  <w:pPr>
                    <w:pStyle w:val="4"/>
                    <w:jc w:val="both"/>
                  </w:pPr>
                  <w:r>
                    <w:rPr>
                      <w:sz w:val="21"/>
                    </w:rPr>
                    <w:t>7</w:t>
                  </w:r>
                </w:p>
              </w:tc>
              <w:tc>
                <w:tcPr>
                  <w:tcW w:w="1026" w:type="dxa"/>
                  <w:gridSpan w:val="2"/>
                  <w:tcBorders>
                    <w:top w:val="nil"/>
                    <w:left w:val="nil"/>
                    <w:bottom w:val="single" w:color="000000" w:sz="4" w:space="0"/>
                    <w:right w:val="single" w:color="000000" w:sz="4" w:space="0"/>
                  </w:tcBorders>
                  <w:tcMar>
                    <w:top w:w="15" w:type="dxa"/>
                    <w:left w:w="15" w:type="dxa"/>
                    <w:bottom w:w="0" w:type="dxa"/>
                    <w:right w:w="15" w:type="dxa"/>
                  </w:tcMar>
                  <w:vAlign w:val="bottom"/>
                </w:tcPr>
                <w:p>
                  <w:pPr>
                    <w:pStyle w:val="4"/>
                    <w:jc w:val="both"/>
                  </w:pPr>
                  <w:r>
                    <w:rPr>
                      <w:sz w:val="21"/>
                    </w:rPr>
                    <w:t>核心业务集群—管理交换机</w:t>
                  </w:r>
                </w:p>
              </w:tc>
              <w:tc>
                <w:tcPr>
                  <w:tcW w:w="926" w:type="dxa"/>
                  <w:tcBorders>
                    <w:top w:val="nil"/>
                    <w:left w:val="nil"/>
                    <w:bottom w:val="single" w:color="000000" w:sz="4" w:space="0"/>
                    <w:right w:val="single" w:color="000000" w:sz="4" w:space="0"/>
                  </w:tcBorders>
                  <w:tcMar>
                    <w:top w:w="15" w:type="dxa"/>
                    <w:left w:w="15" w:type="dxa"/>
                    <w:bottom w:w="0" w:type="dxa"/>
                    <w:right w:w="15" w:type="dxa"/>
                  </w:tcMar>
                  <w:vAlign w:val="bottom"/>
                </w:tcPr>
                <w:p>
                  <w:pPr>
                    <w:pStyle w:val="4"/>
                    <w:ind w:firstLine="420"/>
                    <w:jc w:val="center"/>
                  </w:pPr>
                  <w:r>
                    <w:rPr>
                      <w:sz w:val="21"/>
                    </w:rPr>
                    <w:t>2</w:t>
                  </w:r>
                </w:p>
              </w:tc>
              <w:tc>
                <w:tcPr>
                  <w:tcW w:w="820" w:type="dxa"/>
                  <w:gridSpan w:val="3"/>
                  <w:tcBorders>
                    <w:top w:val="nil"/>
                    <w:left w:val="nil"/>
                    <w:bottom w:val="single" w:color="000000" w:sz="4" w:space="0"/>
                    <w:right w:val="single" w:color="000000" w:sz="4" w:space="0"/>
                  </w:tcBorders>
                  <w:tcMar>
                    <w:top w:w="15" w:type="dxa"/>
                    <w:left w:w="15" w:type="dxa"/>
                    <w:bottom w:w="0" w:type="dxa"/>
                    <w:right w:w="15" w:type="dxa"/>
                  </w:tcMar>
                  <w:vAlign w:val="bottom"/>
                </w:tcPr>
                <w:p>
                  <w:pPr>
                    <w:pStyle w:val="4"/>
                    <w:ind w:firstLine="420"/>
                    <w:jc w:val="center"/>
                  </w:pPr>
                  <w:r>
                    <w:rPr>
                      <w:sz w:val="21"/>
                    </w:rPr>
                    <w:t>台</w:t>
                  </w:r>
                </w:p>
              </w:tc>
              <w:tc>
                <w:tcPr>
                  <w:tcW w:w="978"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ind w:firstLine="440"/>
                    <w:jc w:val="right"/>
                  </w:pPr>
                  <w:r>
                    <w:rPr>
                      <w:sz w:val="22"/>
                    </w:rPr>
                    <w:t>7.1556</w:t>
                  </w:r>
                </w:p>
              </w:tc>
              <w:tc>
                <w:tcPr>
                  <w:tcW w:w="817"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67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bottom"/>
                </w:tcPr>
                <w:p>
                  <w:pPr>
                    <w:pStyle w:val="4"/>
                    <w:jc w:val="both"/>
                  </w:pPr>
                  <w:r>
                    <w:rPr>
                      <w:sz w:val="21"/>
                    </w:rPr>
                    <w:t>8</w:t>
                  </w:r>
                </w:p>
              </w:tc>
              <w:tc>
                <w:tcPr>
                  <w:tcW w:w="1026" w:type="dxa"/>
                  <w:gridSpan w:val="2"/>
                  <w:tcBorders>
                    <w:top w:val="nil"/>
                    <w:left w:val="nil"/>
                    <w:bottom w:val="single" w:color="000000" w:sz="4" w:space="0"/>
                    <w:right w:val="single" w:color="000000" w:sz="4" w:space="0"/>
                  </w:tcBorders>
                  <w:tcMar>
                    <w:top w:w="15" w:type="dxa"/>
                    <w:left w:w="15" w:type="dxa"/>
                    <w:bottom w:w="0" w:type="dxa"/>
                    <w:right w:w="15" w:type="dxa"/>
                  </w:tcMar>
                  <w:vAlign w:val="bottom"/>
                </w:tcPr>
                <w:p>
                  <w:pPr>
                    <w:pStyle w:val="4"/>
                    <w:jc w:val="both"/>
                  </w:pPr>
                  <w:r>
                    <w:rPr>
                      <w:sz w:val="21"/>
                    </w:rPr>
                    <w:t>DMZ服务区集群</w:t>
                  </w:r>
                </w:p>
              </w:tc>
              <w:tc>
                <w:tcPr>
                  <w:tcW w:w="926" w:type="dxa"/>
                  <w:tcBorders>
                    <w:top w:val="nil"/>
                    <w:left w:val="nil"/>
                    <w:bottom w:val="single" w:color="000000" w:sz="4" w:space="0"/>
                    <w:right w:val="single" w:color="000000" w:sz="4" w:space="0"/>
                  </w:tcBorders>
                  <w:tcMar>
                    <w:top w:w="15" w:type="dxa"/>
                    <w:left w:w="15" w:type="dxa"/>
                    <w:bottom w:w="0" w:type="dxa"/>
                    <w:right w:w="15" w:type="dxa"/>
                  </w:tcMar>
                  <w:vAlign w:val="bottom"/>
                </w:tcPr>
                <w:p>
                  <w:pPr>
                    <w:pStyle w:val="4"/>
                    <w:ind w:firstLine="420"/>
                    <w:jc w:val="center"/>
                  </w:pPr>
                  <w:r>
                    <w:rPr>
                      <w:sz w:val="21"/>
                    </w:rPr>
                    <w:t>4</w:t>
                  </w:r>
                </w:p>
              </w:tc>
              <w:tc>
                <w:tcPr>
                  <w:tcW w:w="820" w:type="dxa"/>
                  <w:gridSpan w:val="3"/>
                  <w:tcBorders>
                    <w:top w:val="nil"/>
                    <w:left w:val="nil"/>
                    <w:bottom w:val="single" w:color="000000" w:sz="4" w:space="0"/>
                    <w:right w:val="single" w:color="000000" w:sz="4" w:space="0"/>
                  </w:tcBorders>
                  <w:tcMar>
                    <w:top w:w="15" w:type="dxa"/>
                    <w:left w:w="15" w:type="dxa"/>
                    <w:bottom w:w="0" w:type="dxa"/>
                    <w:right w:w="15" w:type="dxa"/>
                  </w:tcMar>
                  <w:vAlign w:val="bottom"/>
                </w:tcPr>
                <w:p>
                  <w:pPr>
                    <w:pStyle w:val="4"/>
                    <w:ind w:firstLine="420"/>
                    <w:jc w:val="center"/>
                  </w:pPr>
                  <w:r>
                    <w:rPr>
                      <w:sz w:val="21"/>
                    </w:rPr>
                    <w:t>台</w:t>
                  </w:r>
                </w:p>
              </w:tc>
              <w:tc>
                <w:tcPr>
                  <w:tcW w:w="978"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ind w:firstLine="440"/>
                    <w:jc w:val="right"/>
                  </w:pPr>
                  <w:r>
                    <w:rPr>
                      <w:sz w:val="22"/>
                    </w:rPr>
                    <w:t>35.544</w:t>
                  </w:r>
                </w:p>
              </w:tc>
              <w:tc>
                <w:tcPr>
                  <w:tcW w:w="817"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67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bottom"/>
                </w:tcPr>
                <w:p>
                  <w:pPr>
                    <w:pStyle w:val="4"/>
                    <w:jc w:val="both"/>
                  </w:pPr>
                  <w:r>
                    <w:rPr>
                      <w:sz w:val="21"/>
                    </w:rPr>
                    <w:t>9</w:t>
                  </w:r>
                </w:p>
              </w:tc>
              <w:tc>
                <w:tcPr>
                  <w:tcW w:w="1026" w:type="dxa"/>
                  <w:gridSpan w:val="2"/>
                  <w:tcBorders>
                    <w:top w:val="nil"/>
                    <w:left w:val="nil"/>
                    <w:bottom w:val="single" w:color="000000" w:sz="4" w:space="0"/>
                    <w:right w:val="single" w:color="000000" w:sz="4" w:space="0"/>
                  </w:tcBorders>
                  <w:tcMar>
                    <w:top w:w="15" w:type="dxa"/>
                    <w:left w:w="15" w:type="dxa"/>
                    <w:bottom w:w="0" w:type="dxa"/>
                    <w:right w:w="15" w:type="dxa"/>
                  </w:tcMar>
                  <w:vAlign w:val="bottom"/>
                </w:tcPr>
                <w:p>
                  <w:pPr>
                    <w:pStyle w:val="4"/>
                    <w:jc w:val="both"/>
                  </w:pPr>
                  <w:r>
                    <w:rPr>
                      <w:sz w:val="21"/>
                    </w:rPr>
                    <w:t>DMZ服务区集群虚拟化软件</w:t>
                  </w:r>
                </w:p>
              </w:tc>
              <w:tc>
                <w:tcPr>
                  <w:tcW w:w="926" w:type="dxa"/>
                  <w:tcBorders>
                    <w:top w:val="nil"/>
                    <w:left w:val="nil"/>
                    <w:bottom w:val="single" w:color="000000" w:sz="4" w:space="0"/>
                    <w:right w:val="single" w:color="000000" w:sz="4" w:space="0"/>
                  </w:tcBorders>
                  <w:tcMar>
                    <w:top w:w="15" w:type="dxa"/>
                    <w:left w:w="15" w:type="dxa"/>
                    <w:bottom w:w="0" w:type="dxa"/>
                    <w:right w:w="15" w:type="dxa"/>
                  </w:tcMar>
                  <w:vAlign w:val="bottom"/>
                </w:tcPr>
                <w:p>
                  <w:pPr>
                    <w:pStyle w:val="4"/>
                    <w:ind w:firstLine="420"/>
                    <w:jc w:val="center"/>
                  </w:pPr>
                  <w:r>
                    <w:rPr>
                      <w:sz w:val="21"/>
                    </w:rPr>
                    <w:t>8</w:t>
                  </w:r>
                </w:p>
              </w:tc>
              <w:tc>
                <w:tcPr>
                  <w:tcW w:w="820" w:type="dxa"/>
                  <w:gridSpan w:val="3"/>
                  <w:tcBorders>
                    <w:top w:val="nil"/>
                    <w:left w:val="nil"/>
                    <w:bottom w:val="single" w:color="000000" w:sz="4" w:space="0"/>
                    <w:right w:val="single" w:color="000000" w:sz="4" w:space="0"/>
                  </w:tcBorders>
                  <w:tcMar>
                    <w:top w:w="15" w:type="dxa"/>
                    <w:left w:w="15" w:type="dxa"/>
                    <w:bottom w:w="0" w:type="dxa"/>
                    <w:right w:w="15" w:type="dxa"/>
                  </w:tcMar>
                  <w:vAlign w:val="bottom"/>
                </w:tcPr>
                <w:p>
                  <w:pPr>
                    <w:pStyle w:val="4"/>
                    <w:ind w:firstLine="420"/>
                    <w:jc w:val="center"/>
                  </w:pPr>
                  <w:r>
                    <w:rPr>
                      <w:sz w:val="21"/>
                    </w:rPr>
                    <w:t>套</w:t>
                  </w:r>
                </w:p>
              </w:tc>
              <w:tc>
                <w:tcPr>
                  <w:tcW w:w="978"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ind w:firstLine="440"/>
                    <w:jc w:val="right"/>
                  </w:pPr>
                  <w:r>
                    <w:rPr>
                      <w:sz w:val="22"/>
                    </w:rPr>
                    <w:t>26.656</w:t>
                  </w:r>
                </w:p>
              </w:tc>
              <w:tc>
                <w:tcPr>
                  <w:tcW w:w="817"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67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bottom"/>
                </w:tcPr>
                <w:p>
                  <w:pPr>
                    <w:pStyle w:val="4"/>
                    <w:jc w:val="both"/>
                  </w:pPr>
                  <w:r>
                    <w:rPr>
                      <w:sz w:val="21"/>
                    </w:rPr>
                    <w:t>10</w:t>
                  </w:r>
                </w:p>
              </w:tc>
              <w:tc>
                <w:tcPr>
                  <w:tcW w:w="1026" w:type="dxa"/>
                  <w:gridSpan w:val="2"/>
                  <w:tcBorders>
                    <w:top w:val="nil"/>
                    <w:left w:val="nil"/>
                    <w:bottom w:val="single" w:color="000000" w:sz="4" w:space="0"/>
                    <w:right w:val="single" w:color="000000" w:sz="4" w:space="0"/>
                  </w:tcBorders>
                  <w:tcMar>
                    <w:top w:w="15" w:type="dxa"/>
                    <w:left w:w="15" w:type="dxa"/>
                    <w:bottom w:w="0" w:type="dxa"/>
                    <w:right w:w="15" w:type="dxa"/>
                  </w:tcMar>
                  <w:vAlign w:val="bottom"/>
                </w:tcPr>
                <w:p>
                  <w:pPr>
                    <w:pStyle w:val="4"/>
                    <w:jc w:val="both"/>
                  </w:pPr>
                  <w:r>
                    <w:rPr>
                      <w:sz w:val="21"/>
                    </w:rPr>
                    <w:t>DMZ服务区集群持续数据保护软件</w:t>
                  </w:r>
                </w:p>
              </w:tc>
              <w:tc>
                <w:tcPr>
                  <w:tcW w:w="926" w:type="dxa"/>
                  <w:tcBorders>
                    <w:top w:val="nil"/>
                    <w:left w:val="nil"/>
                    <w:bottom w:val="single" w:color="000000" w:sz="4" w:space="0"/>
                    <w:right w:val="single" w:color="000000" w:sz="4" w:space="0"/>
                  </w:tcBorders>
                  <w:tcMar>
                    <w:top w:w="15" w:type="dxa"/>
                    <w:left w:w="15" w:type="dxa"/>
                    <w:bottom w:w="0" w:type="dxa"/>
                    <w:right w:w="15" w:type="dxa"/>
                  </w:tcMar>
                  <w:vAlign w:val="bottom"/>
                </w:tcPr>
                <w:p>
                  <w:pPr>
                    <w:pStyle w:val="4"/>
                    <w:ind w:firstLine="420"/>
                    <w:jc w:val="center"/>
                  </w:pPr>
                  <w:r>
                    <w:rPr>
                      <w:sz w:val="21"/>
                    </w:rPr>
                    <w:t>1</w:t>
                  </w:r>
                </w:p>
              </w:tc>
              <w:tc>
                <w:tcPr>
                  <w:tcW w:w="820" w:type="dxa"/>
                  <w:gridSpan w:val="3"/>
                  <w:tcBorders>
                    <w:top w:val="nil"/>
                    <w:left w:val="nil"/>
                    <w:bottom w:val="single" w:color="000000" w:sz="4" w:space="0"/>
                    <w:right w:val="single" w:color="000000" w:sz="4" w:space="0"/>
                  </w:tcBorders>
                  <w:tcMar>
                    <w:top w:w="15" w:type="dxa"/>
                    <w:left w:w="15" w:type="dxa"/>
                    <w:bottom w:w="0" w:type="dxa"/>
                    <w:right w:w="15" w:type="dxa"/>
                  </w:tcMar>
                  <w:vAlign w:val="bottom"/>
                </w:tcPr>
                <w:p>
                  <w:pPr>
                    <w:pStyle w:val="4"/>
                    <w:ind w:firstLine="420"/>
                    <w:jc w:val="center"/>
                  </w:pPr>
                  <w:r>
                    <w:rPr>
                      <w:sz w:val="21"/>
                    </w:rPr>
                    <w:t>套</w:t>
                  </w:r>
                </w:p>
              </w:tc>
              <w:tc>
                <w:tcPr>
                  <w:tcW w:w="978"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ind w:firstLine="440"/>
                    <w:jc w:val="right"/>
                  </w:pPr>
                  <w:r>
                    <w:rPr>
                      <w:sz w:val="22"/>
                    </w:rPr>
                    <w:t>4.2363</w:t>
                  </w:r>
                </w:p>
              </w:tc>
              <w:tc>
                <w:tcPr>
                  <w:tcW w:w="817"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67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bottom"/>
                </w:tcPr>
                <w:p>
                  <w:pPr>
                    <w:pStyle w:val="4"/>
                    <w:jc w:val="both"/>
                  </w:pPr>
                  <w:r>
                    <w:rPr>
                      <w:sz w:val="21"/>
                    </w:rPr>
                    <w:t>11</w:t>
                  </w:r>
                </w:p>
              </w:tc>
              <w:tc>
                <w:tcPr>
                  <w:tcW w:w="1026" w:type="dxa"/>
                  <w:gridSpan w:val="2"/>
                  <w:tcBorders>
                    <w:top w:val="nil"/>
                    <w:left w:val="nil"/>
                    <w:bottom w:val="single" w:color="000000" w:sz="4" w:space="0"/>
                    <w:right w:val="single" w:color="000000" w:sz="4" w:space="0"/>
                  </w:tcBorders>
                  <w:tcMar>
                    <w:top w:w="15" w:type="dxa"/>
                    <w:left w:w="15" w:type="dxa"/>
                    <w:bottom w:w="0" w:type="dxa"/>
                    <w:right w:w="15" w:type="dxa"/>
                  </w:tcMar>
                  <w:vAlign w:val="bottom"/>
                </w:tcPr>
                <w:p>
                  <w:pPr>
                    <w:pStyle w:val="4"/>
                    <w:jc w:val="both"/>
                  </w:pPr>
                  <w:r>
                    <w:rPr>
                      <w:sz w:val="21"/>
                    </w:rPr>
                    <w:t>DMZ服务区集群虚拟化安全组件</w:t>
                  </w:r>
                </w:p>
              </w:tc>
              <w:tc>
                <w:tcPr>
                  <w:tcW w:w="926" w:type="dxa"/>
                  <w:tcBorders>
                    <w:top w:val="nil"/>
                    <w:left w:val="nil"/>
                    <w:bottom w:val="single" w:color="000000" w:sz="4" w:space="0"/>
                    <w:right w:val="single" w:color="000000" w:sz="4" w:space="0"/>
                  </w:tcBorders>
                  <w:tcMar>
                    <w:top w:w="15" w:type="dxa"/>
                    <w:left w:w="15" w:type="dxa"/>
                    <w:bottom w:w="0" w:type="dxa"/>
                    <w:right w:w="15" w:type="dxa"/>
                  </w:tcMar>
                  <w:vAlign w:val="bottom"/>
                </w:tcPr>
                <w:p>
                  <w:pPr>
                    <w:pStyle w:val="4"/>
                    <w:ind w:firstLine="420"/>
                    <w:jc w:val="center"/>
                  </w:pPr>
                  <w:r>
                    <w:rPr>
                      <w:sz w:val="21"/>
                    </w:rPr>
                    <w:t>1</w:t>
                  </w:r>
                </w:p>
              </w:tc>
              <w:tc>
                <w:tcPr>
                  <w:tcW w:w="820" w:type="dxa"/>
                  <w:gridSpan w:val="3"/>
                  <w:tcBorders>
                    <w:top w:val="nil"/>
                    <w:left w:val="nil"/>
                    <w:bottom w:val="single" w:color="000000" w:sz="4" w:space="0"/>
                    <w:right w:val="single" w:color="000000" w:sz="4" w:space="0"/>
                  </w:tcBorders>
                  <w:tcMar>
                    <w:top w:w="15" w:type="dxa"/>
                    <w:left w:w="15" w:type="dxa"/>
                    <w:bottom w:w="0" w:type="dxa"/>
                    <w:right w:w="15" w:type="dxa"/>
                  </w:tcMar>
                  <w:vAlign w:val="bottom"/>
                </w:tcPr>
                <w:p>
                  <w:pPr>
                    <w:pStyle w:val="4"/>
                    <w:ind w:firstLine="420"/>
                    <w:jc w:val="center"/>
                  </w:pPr>
                  <w:r>
                    <w:rPr>
                      <w:sz w:val="21"/>
                    </w:rPr>
                    <w:t>套</w:t>
                  </w:r>
                </w:p>
              </w:tc>
              <w:tc>
                <w:tcPr>
                  <w:tcW w:w="978"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ind w:firstLine="440"/>
                    <w:jc w:val="right"/>
                  </w:pPr>
                  <w:r>
                    <w:rPr>
                      <w:sz w:val="22"/>
                    </w:rPr>
                    <w:t>16.0997</w:t>
                  </w:r>
                </w:p>
              </w:tc>
              <w:tc>
                <w:tcPr>
                  <w:tcW w:w="817"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67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bottom"/>
                </w:tcPr>
                <w:p>
                  <w:pPr>
                    <w:pStyle w:val="4"/>
                    <w:jc w:val="both"/>
                  </w:pPr>
                  <w:r>
                    <w:rPr>
                      <w:sz w:val="21"/>
                    </w:rPr>
                    <w:t>12</w:t>
                  </w:r>
                </w:p>
              </w:tc>
              <w:tc>
                <w:tcPr>
                  <w:tcW w:w="1026" w:type="dxa"/>
                  <w:gridSpan w:val="2"/>
                  <w:tcBorders>
                    <w:top w:val="nil"/>
                    <w:left w:val="nil"/>
                    <w:bottom w:val="single" w:color="000000" w:sz="4" w:space="0"/>
                    <w:right w:val="single" w:color="000000" w:sz="4" w:space="0"/>
                  </w:tcBorders>
                  <w:tcMar>
                    <w:top w:w="15" w:type="dxa"/>
                    <w:left w:w="15" w:type="dxa"/>
                    <w:bottom w:w="0" w:type="dxa"/>
                    <w:right w:w="15" w:type="dxa"/>
                  </w:tcMar>
                  <w:vAlign w:val="bottom"/>
                </w:tcPr>
                <w:p>
                  <w:pPr>
                    <w:pStyle w:val="4"/>
                    <w:jc w:val="both"/>
                  </w:pPr>
                  <w:r>
                    <w:rPr>
                      <w:sz w:val="21"/>
                    </w:rPr>
                    <w:t>DMZ服务区集群—存储交换机</w:t>
                  </w:r>
                </w:p>
              </w:tc>
              <w:tc>
                <w:tcPr>
                  <w:tcW w:w="926" w:type="dxa"/>
                  <w:tcBorders>
                    <w:top w:val="nil"/>
                    <w:left w:val="nil"/>
                    <w:bottom w:val="single" w:color="000000" w:sz="4" w:space="0"/>
                    <w:right w:val="single" w:color="000000" w:sz="4" w:space="0"/>
                  </w:tcBorders>
                  <w:tcMar>
                    <w:top w:w="15" w:type="dxa"/>
                    <w:left w:w="15" w:type="dxa"/>
                    <w:bottom w:w="0" w:type="dxa"/>
                    <w:right w:w="15" w:type="dxa"/>
                  </w:tcMar>
                  <w:vAlign w:val="bottom"/>
                </w:tcPr>
                <w:p>
                  <w:pPr>
                    <w:pStyle w:val="4"/>
                    <w:ind w:firstLine="420"/>
                    <w:jc w:val="center"/>
                  </w:pPr>
                  <w:r>
                    <w:rPr>
                      <w:sz w:val="21"/>
                    </w:rPr>
                    <w:t>2</w:t>
                  </w:r>
                </w:p>
              </w:tc>
              <w:tc>
                <w:tcPr>
                  <w:tcW w:w="820" w:type="dxa"/>
                  <w:gridSpan w:val="3"/>
                  <w:tcBorders>
                    <w:top w:val="nil"/>
                    <w:left w:val="nil"/>
                    <w:bottom w:val="single" w:color="000000" w:sz="4" w:space="0"/>
                    <w:right w:val="single" w:color="000000" w:sz="4" w:space="0"/>
                  </w:tcBorders>
                  <w:tcMar>
                    <w:top w:w="15" w:type="dxa"/>
                    <w:left w:w="15" w:type="dxa"/>
                    <w:bottom w:w="0" w:type="dxa"/>
                    <w:right w:w="15" w:type="dxa"/>
                  </w:tcMar>
                  <w:vAlign w:val="bottom"/>
                </w:tcPr>
                <w:p>
                  <w:pPr>
                    <w:pStyle w:val="4"/>
                    <w:ind w:firstLine="420"/>
                    <w:jc w:val="center"/>
                  </w:pPr>
                  <w:r>
                    <w:rPr>
                      <w:sz w:val="21"/>
                    </w:rPr>
                    <w:t>台</w:t>
                  </w:r>
                </w:p>
              </w:tc>
              <w:tc>
                <w:tcPr>
                  <w:tcW w:w="978"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ind w:firstLine="440"/>
                    <w:jc w:val="right"/>
                  </w:pPr>
                  <w:r>
                    <w:rPr>
                      <w:sz w:val="22"/>
                    </w:rPr>
                    <w:t>3.175</w:t>
                  </w:r>
                </w:p>
              </w:tc>
              <w:tc>
                <w:tcPr>
                  <w:tcW w:w="817"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67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bottom"/>
                </w:tcPr>
                <w:p>
                  <w:pPr>
                    <w:pStyle w:val="4"/>
                    <w:jc w:val="both"/>
                  </w:pPr>
                  <w:r>
                    <w:rPr>
                      <w:sz w:val="21"/>
                    </w:rPr>
                    <w:t>13</w:t>
                  </w:r>
                </w:p>
              </w:tc>
              <w:tc>
                <w:tcPr>
                  <w:tcW w:w="1026" w:type="dxa"/>
                  <w:gridSpan w:val="2"/>
                  <w:tcBorders>
                    <w:top w:val="nil"/>
                    <w:left w:val="nil"/>
                    <w:bottom w:val="single" w:color="000000" w:sz="4" w:space="0"/>
                    <w:right w:val="single" w:color="000000" w:sz="4" w:space="0"/>
                  </w:tcBorders>
                  <w:tcMar>
                    <w:top w:w="15" w:type="dxa"/>
                    <w:left w:w="15" w:type="dxa"/>
                    <w:bottom w:w="0" w:type="dxa"/>
                    <w:right w:w="15" w:type="dxa"/>
                  </w:tcMar>
                  <w:vAlign w:val="bottom"/>
                </w:tcPr>
                <w:p>
                  <w:pPr>
                    <w:pStyle w:val="4"/>
                    <w:jc w:val="both"/>
                  </w:pPr>
                  <w:r>
                    <w:rPr>
                      <w:sz w:val="21"/>
                    </w:rPr>
                    <w:t>DMZ服务区集群—业务交换机</w:t>
                  </w:r>
                </w:p>
              </w:tc>
              <w:tc>
                <w:tcPr>
                  <w:tcW w:w="926" w:type="dxa"/>
                  <w:tcBorders>
                    <w:top w:val="nil"/>
                    <w:left w:val="nil"/>
                    <w:bottom w:val="single" w:color="000000" w:sz="4" w:space="0"/>
                    <w:right w:val="single" w:color="000000" w:sz="4" w:space="0"/>
                  </w:tcBorders>
                  <w:tcMar>
                    <w:top w:w="15" w:type="dxa"/>
                    <w:left w:w="15" w:type="dxa"/>
                    <w:bottom w:w="0" w:type="dxa"/>
                    <w:right w:w="15" w:type="dxa"/>
                  </w:tcMar>
                  <w:vAlign w:val="bottom"/>
                </w:tcPr>
                <w:p>
                  <w:pPr>
                    <w:pStyle w:val="4"/>
                    <w:ind w:firstLine="420"/>
                    <w:jc w:val="center"/>
                  </w:pPr>
                  <w:r>
                    <w:rPr>
                      <w:sz w:val="21"/>
                    </w:rPr>
                    <w:t>2</w:t>
                  </w:r>
                </w:p>
              </w:tc>
              <w:tc>
                <w:tcPr>
                  <w:tcW w:w="820" w:type="dxa"/>
                  <w:gridSpan w:val="3"/>
                  <w:tcBorders>
                    <w:top w:val="nil"/>
                    <w:left w:val="nil"/>
                    <w:bottom w:val="single" w:color="000000" w:sz="4" w:space="0"/>
                    <w:right w:val="single" w:color="000000" w:sz="4" w:space="0"/>
                  </w:tcBorders>
                  <w:tcMar>
                    <w:top w:w="15" w:type="dxa"/>
                    <w:left w:w="15" w:type="dxa"/>
                    <w:bottom w:w="0" w:type="dxa"/>
                    <w:right w:w="15" w:type="dxa"/>
                  </w:tcMar>
                  <w:vAlign w:val="bottom"/>
                </w:tcPr>
                <w:p>
                  <w:pPr>
                    <w:pStyle w:val="4"/>
                    <w:ind w:firstLine="420"/>
                    <w:jc w:val="center"/>
                  </w:pPr>
                  <w:r>
                    <w:rPr>
                      <w:sz w:val="21"/>
                    </w:rPr>
                    <w:t>台</w:t>
                  </w:r>
                </w:p>
              </w:tc>
              <w:tc>
                <w:tcPr>
                  <w:tcW w:w="978"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ind w:firstLine="440"/>
                    <w:jc w:val="right"/>
                  </w:pPr>
                  <w:r>
                    <w:rPr>
                      <w:sz w:val="22"/>
                    </w:rPr>
                    <w:t>3.4996</w:t>
                  </w:r>
                </w:p>
              </w:tc>
              <w:tc>
                <w:tcPr>
                  <w:tcW w:w="817"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67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bottom"/>
                </w:tcPr>
                <w:p>
                  <w:pPr>
                    <w:pStyle w:val="4"/>
                    <w:jc w:val="both"/>
                  </w:pPr>
                  <w:r>
                    <w:rPr>
                      <w:sz w:val="21"/>
                    </w:rPr>
                    <w:t>14</w:t>
                  </w:r>
                </w:p>
              </w:tc>
              <w:tc>
                <w:tcPr>
                  <w:tcW w:w="1026" w:type="dxa"/>
                  <w:gridSpan w:val="2"/>
                  <w:tcBorders>
                    <w:top w:val="nil"/>
                    <w:left w:val="nil"/>
                    <w:bottom w:val="single" w:color="000000" w:sz="4" w:space="0"/>
                    <w:right w:val="single" w:color="000000" w:sz="4" w:space="0"/>
                  </w:tcBorders>
                  <w:tcMar>
                    <w:top w:w="15" w:type="dxa"/>
                    <w:left w:w="15" w:type="dxa"/>
                    <w:bottom w:w="0" w:type="dxa"/>
                    <w:right w:w="15" w:type="dxa"/>
                  </w:tcMar>
                  <w:vAlign w:val="bottom"/>
                </w:tcPr>
                <w:p>
                  <w:pPr>
                    <w:pStyle w:val="4"/>
                    <w:jc w:val="both"/>
                  </w:pPr>
                  <w:r>
                    <w:rPr>
                      <w:sz w:val="21"/>
                    </w:rPr>
                    <w:t>分布式存储</w:t>
                  </w:r>
                </w:p>
              </w:tc>
              <w:tc>
                <w:tcPr>
                  <w:tcW w:w="926" w:type="dxa"/>
                  <w:tcBorders>
                    <w:top w:val="nil"/>
                    <w:left w:val="nil"/>
                    <w:bottom w:val="single" w:color="000000" w:sz="4" w:space="0"/>
                    <w:right w:val="single" w:color="000000" w:sz="4" w:space="0"/>
                  </w:tcBorders>
                  <w:tcMar>
                    <w:top w:w="15" w:type="dxa"/>
                    <w:left w:w="15" w:type="dxa"/>
                    <w:bottom w:w="0" w:type="dxa"/>
                    <w:right w:w="15" w:type="dxa"/>
                  </w:tcMar>
                  <w:vAlign w:val="bottom"/>
                </w:tcPr>
                <w:p>
                  <w:pPr>
                    <w:pStyle w:val="4"/>
                    <w:ind w:firstLine="420"/>
                    <w:jc w:val="center"/>
                  </w:pPr>
                  <w:r>
                    <w:rPr>
                      <w:sz w:val="21"/>
                    </w:rPr>
                    <w:t>3</w:t>
                  </w:r>
                </w:p>
              </w:tc>
              <w:tc>
                <w:tcPr>
                  <w:tcW w:w="820" w:type="dxa"/>
                  <w:gridSpan w:val="3"/>
                  <w:tcBorders>
                    <w:top w:val="nil"/>
                    <w:left w:val="nil"/>
                    <w:bottom w:val="single" w:color="000000" w:sz="4" w:space="0"/>
                    <w:right w:val="single" w:color="000000" w:sz="4" w:space="0"/>
                  </w:tcBorders>
                  <w:tcMar>
                    <w:top w:w="15" w:type="dxa"/>
                    <w:left w:w="15" w:type="dxa"/>
                    <w:bottom w:w="0" w:type="dxa"/>
                    <w:right w:w="15" w:type="dxa"/>
                  </w:tcMar>
                  <w:vAlign w:val="bottom"/>
                </w:tcPr>
                <w:p>
                  <w:pPr>
                    <w:pStyle w:val="4"/>
                    <w:ind w:firstLine="420"/>
                    <w:jc w:val="center"/>
                  </w:pPr>
                  <w:r>
                    <w:rPr>
                      <w:sz w:val="21"/>
                    </w:rPr>
                    <w:t>台</w:t>
                  </w:r>
                </w:p>
              </w:tc>
              <w:tc>
                <w:tcPr>
                  <w:tcW w:w="978"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ind w:firstLine="440"/>
                    <w:jc w:val="right"/>
                  </w:pPr>
                  <w:r>
                    <w:rPr>
                      <w:sz w:val="22"/>
                    </w:rPr>
                    <w:t>57.2325</w:t>
                  </w:r>
                </w:p>
              </w:tc>
              <w:tc>
                <w:tcPr>
                  <w:tcW w:w="817"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67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bottom"/>
                </w:tcPr>
                <w:p>
                  <w:pPr>
                    <w:pStyle w:val="4"/>
                    <w:jc w:val="both"/>
                  </w:pPr>
                  <w:r>
                    <w:rPr>
                      <w:sz w:val="21"/>
                    </w:rPr>
                    <w:t>15</w:t>
                  </w:r>
                </w:p>
              </w:tc>
              <w:tc>
                <w:tcPr>
                  <w:tcW w:w="1026" w:type="dxa"/>
                  <w:gridSpan w:val="2"/>
                  <w:tcBorders>
                    <w:top w:val="nil"/>
                    <w:left w:val="nil"/>
                    <w:bottom w:val="single" w:color="000000" w:sz="4" w:space="0"/>
                    <w:right w:val="single" w:color="000000" w:sz="4" w:space="0"/>
                  </w:tcBorders>
                  <w:tcMar>
                    <w:top w:w="15" w:type="dxa"/>
                    <w:left w:w="15" w:type="dxa"/>
                    <w:bottom w:w="0" w:type="dxa"/>
                    <w:right w:w="15" w:type="dxa"/>
                  </w:tcMar>
                  <w:vAlign w:val="bottom"/>
                </w:tcPr>
                <w:p>
                  <w:pPr>
                    <w:pStyle w:val="4"/>
                    <w:jc w:val="both"/>
                  </w:pPr>
                  <w:r>
                    <w:rPr>
                      <w:sz w:val="21"/>
                    </w:rPr>
                    <w:t>分布式存储—存储交换机</w:t>
                  </w:r>
                </w:p>
              </w:tc>
              <w:tc>
                <w:tcPr>
                  <w:tcW w:w="926" w:type="dxa"/>
                  <w:tcBorders>
                    <w:top w:val="nil"/>
                    <w:left w:val="nil"/>
                    <w:bottom w:val="single" w:color="000000" w:sz="4" w:space="0"/>
                    <w:right w:val="single" w:color="000000" w:sz="4" w:space="0"/>
                  </w:tcBorders>
                  <w:tcMar>
                    <w:top w:w="15" w:type="dxa"/>
                    <w:left w:w="15" w:type="dxa"/>
                    <w:bottom w:w="0" w:type="dxa"/>
                    <w:right w:w="15" w:type="dxa"/>
                  </w:tcMar>
                  <w:vAlign w:val="bottom"/>
                </w:tcPr>
                <w:p>
                  <w:pPr>
                    <w:pStyle w:val="4"/>
                    <w:ind w:firstLine="420"/>
                    <w:jc w:val="center"/>
                  </w:pPr>
                  <w:r>
                    <w:rPr>
                      <w:sz w:val="21"/>
                    </w:rPr>
                    <w:t>2</w:t>
                  </w:r>
                </w:p>
              </w:tc>
              <w:tc>
                <w:tcPr>
                  <w:tcW w:w="820" w:type="dxa"/>
                  <w:gridSpan w:val="3"/>
                  <w:tcBorders>
                    <w:top w:val="nil"/>
                    <w:left w:val="nil"/>
                    <w:bottom w:val="single" w:color="000000" w:sz="4" w:space="0"/>
                    <w:right w:val="single" w:color="000000" w:sz="4" w:space="0"/>
                  </w:tcBorders>
                  <w:tcMar>
                    <w:top w:w="15" w:type="dxa"/>
                    <w:left w:w="15" w:type="dxa"/>
                    <w:bottom w:w="0" w:type="dxa"/>
                    <w:right w:w="15" w:type="dxa"/>
                  </w:tcMar>
                  <w:vAlign w:val="bottom"/>
                </w:tcPr>
                <w:p>
                  <w:pPr>
                    <w:pStyle w:val="4"/>
                    <w:ind w:firstLine="420"/>
                    <w:jc w:val="center"/>
                  </w:pPr>
                  <w:r>
                    <w:rPr>
                      <w:sz w:val="21"/>
                    </w:rPr>
                    <w:t>台</w:t>
                  </w:r>
                </w:p>
              </w:tc>
              <w:tc>
                <w:tcPr>
                  <w:tcW w:w="978"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ind w:firstLine="440"/>
                    <w:jc w:val="right"/>
                  </w:pPr>
                  <w:r>
                    <w:rPr>
                      <w:sz w:val="22"/>
                    </w:rPr>
                    <w:t>2.9512</w:t>
                  </w:r>
                </w:p>
              </w:tc>
              <w:tc>
                <w:tcPr>
                  <w:tcW w:w="817"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67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bottom"/>
                </w:tcPr>
                <w:p>
                  <w:pPr>
                    <w:pStyle w:val="4"/>
                    <w:jc w:val="both"/>
                  </w:pPr>
                  <w:r>
                    <w:rPr>
                      <w:sz w:val="21"/>
                    </w:rPr>
                    <w:t>16</w:t>
                  </w:r>
                </w:p>
              </w:tc>
              <w:tc>
                <w:tcPr>
                  <w:tcW w:w="1026" w:type="dxa"/>
                  <w:gridSpan w:val="2"/>
                  <w:tcBorders>
                    <w:top w:val="nil"/>
                    <w:left w:val="nil"/>
                    <w:bottom w:val="single" w:color="000000" w:sz="4" w:space="0"/>
                    <w:right w:val="single" w:color="000000" w:sz="4" w:space="0"/>
                  </w:tcBorders>
                  <w:tcMar>
                    <w:top w:w="15" w:type="dxa"/>
                    <w:left w:w="15" w:type="dxa"/>
                    <w:bottom w:w="0" w:type="dxa"/>
                    <w:right w:w="15" w:type="dxa"/>
                  </w:tcMar>
                  <w:vAlign w:val="bottom"/>
                </w:tcPr>
                <w:p>
                  <w:pPr>
                    <w:pStyle w:val="4"/>
                    <w:jc w:val="both"/>
                  </w:pPr>
                  <w:r>
                    <w:rPr>
                      <w:sz w:val="21"/>
                    </w:rPr>
                    <w:t>分布式存储—业务交换机</w:t>
                  </w:r>
                </w:p>
              </w:tc>
              <w:tc>
                <w:tcPr>
                  <w:tcW w:w="926" w:type="dxa"/>
                  <w:tcBorders>
                    <w:top w:val="nil"/>
                    <w:left w:val="nil"/>
                    <w:bottom w:val="single" w:color="000000" w:sz="4" w:space="0"/>
                    <w:right w:val="single" w:color="000000" w:sz="4" w:space="0"/>
                  </w:tcBorders>
                  <w:tcMar>
                    <w:top w:w="15" w:type="dxa"/>
                    <w:left w:w="15" w:type="dxa"/>
                    <w:bottom w:w="0" w:type="dxa"/>
                    <w:right w:w="15" w:type="dxa"/>
                  </w:tcMar>
                  <w:vAlign w:val="bottom"/>
                </w:tcPr>
                <w:p>
                  <w:pPr>
                    <w:pStyle w:val="4"/>
                    <w:ind w:firstLine="420"/>
                    <w:jc w:val="center"/>
                  </w:pPr>
                  <w:r>
                    <w:rPr>
                      <w:sz w:val="21"/>
                    </w:rPr>
                    <w:t>2</w:t>
                  </w:r>
                </w:p>
              </w:tc>
              <w:tc>
                <w:tcPr>
                  <w:tcW w:w="820" w:type="dxa"/>
                  <w:gridSpan w:val="3"/>
                  <w:tcBorders>
                    <w:top w:val="nil"/>
                    <w:left w:val="nil"/>
                    <w:bottom w:val="single" w:color="000000" w:sz="4" w:space="0"/>
                    <w:right w:val="single" w:color="000000" w:sz="4" w:space="0"/>
                  </w:tcBorders>
                  <w:tcMar>
                    <w:top w:w="15" w:type="dxa"/>
                    <w:left w:w="15" w:type="dxa"/>
                    <w:bottom w:w="0" w:type="dxa"/>
                    <w:right w:w="15" w:type="dxa"/>
                  </w:tcMar>
                  <w:vAlign w:val="bottom"/>
                </w:tcPr>
                <w:p>
                  <w:pPr>
                    <w:pStyle w:val="4"/>
                    <w:ind w:firstLine="420"/>
                    <w:jc w:val="center"/>
                  </w:pPr>
                  <w:r>
                    <w:rPr>
                      <w:sz w:val="21"/>
                    </w:rPr>
                    <w:t>台</w:t>
                  </w:r>
                </w:p>
              </w:tc>
              <w:tc>
                <w:tcPr>
                  <w:tcW w:w="978"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ind w:firstLine="440"/>
                    <w:jc w:val="right"/>
                  </w:pPr>
                  <w:r>
                    <w:rPr>
                      <w:sz w:val="22"/>
                    </w:rPr>
                    <w:t>3.6264</w:t>
                  </w:r>
                </w:p>
              </w:tc>
              <w:tc>
                <w:tcPr>
                  <w:tcW w:w="817"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67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bottom"/>
                </w:tcPr>
                <w:p>
                  <w:pPr>
                    <w:pStyle w:val="4"/>
                    <w:jc w:val="both"/>
                  </w:pPr>
                  <w:r>
                    <w:rPr>
                      <w:sz w:val="21"/>
                    </w:rPr>
                    <w:t>17</w:t>
                  </w:r>
                </w:p>
              </w:tc>
              <w:tc>
                <w:tcPr>
                  <w:tcW w:w="1026" w:type="dxa"/>
                  <w:gridSpan w:val="2"/>
                  <w:tcBorders>
                    <w:top w:val="nil"/>
                    <w:left w:val="nil"/>
                    <w:bottom w:val="single" w:color="000000" w:sz="4" w:space="0"/>
                    <w:right w:val="single" w:color="000000" w:sz="4" w:space="0"/>
                  </w:tcBorders>
                  <w:tcMar>
                    <w:top w:w="15" w:type="dxa"/>
                    <w:left w:w="15" w:type="dxa"/>
                    <w:bottom w:w="0" w:type="dxa"/>
                    <w:right w:w="15" w:type="dxa"/>
                  </w:tcMar>
                  <w:vAlign w:val="bottom"/>
                </w:tcPr>
                <w:p>
                  <w:pPr>
                    <w:pStyle w:val="4"/>
                    <w:jc w:val="both"/>
                  </w:pPr>
                  <w:r>
                    <w:rPr>
                      <w:sz w:val="21"/>
                    </w:rPr>
                    <w:t>备份一体机</w:t>
                  </w:r>
                </w:p>
              </w:tc>
              <w:tc>
                <w:tcPr>
                  <w:tcW w:w="926" w:type="dxa"/>
                  <w:tcBorders>
                    <w:top w:val="nil"/>
                    <w:left w:val="nil"/>
                    <w:bottom w:val="single" w:color="000000" w:sz="4" w:space="0"/>
                    <w:right w:val="single" w:color="000000" w:sz="4" w:space="0"/>
                  </w:tcBorders>
                  <w:tcMar>
                    <w:top w:w="15" w:type="dxa"/>
                    <w:left w:w="15" w:type="dxa"/>
                    <w:bottom w:w="0" w:type="dxa"/>
                    <w:right w:w="15" w:type="dxa"/>
                  </w:tcMar>
                  <w:vAlign w:val="bottom"/>
                </w:tcPr>
                <w:p>
                  <w:pPr>
                    <w:pStyle w:val="4"/>
                    <w:ind w:firstLine="420"/>
                    <w:jc w:val="center"/>
                  </w:pPr>
                  <w:r>
                    <w:rPr>
                      <w:sz w:val="21"/>
                    </w:rPr>
                    <w:t>1</w:t>
                  </w:r>
                </w:p>
              </w:tc>
              <w:tc>
                <w:tcPr>
                  <w:tcW w:w="820" w:type="dxa"/>
                  <w:gridSpan w:val="3"/>
                  <w:tcBorders>
                    <w:top w:val="nil"/>
                    <w:left w:val="nil"/>
                    <w:bottom w:val="single" w:color="000000" w:sz="4" w:space="0"/>
                    <w:right w:val="single" w:color="000000" w:sz="4" w:space="0"/>
                  </w:tcBorders>
                  <w:tcMar>
                    <w:top w:w="15" w:type="dxa"/>
                    <w:left w:w="15" w:type="dxa"/>
                    <w:bottom w:w="0" w:type="dxa"/>
                    <w:right w:w="15" w:type="dxa"/>
                  </w:tcMar>
                  <w:vAlign w:val="bottom"/>
                </w:tcPr>
                <w:p>
                  <w:pPr>
                    <w:pStyle w:val="4"/>
                    <w:ind w:firstLine="420"/>
                    <w:jc w:val="center"/>
                  </w:pPr>
                  <w:r>
                    <w:rPr>
                      <w:sz w:val="21"/>
                    </w:rPr>
                    <w:t>台</w:t>
                  </w:r>
                </w:p>
              </w:tc>
              <w:tc>
                <w:tcPr>
                  <w:tcW w:w="978"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ind w:firstLine="440"/>
                    <w:jc w:val="right"/>
                  </w:pPr>
                  <w:r>
                    <w:rPr>
                      <w:sz w:val="22"/>
                    </w:rPr>
                    <w:t>19.2553</w:t>
                  </w:r>
                </w:p>
              </w:tc>
              <w:tc>
                <w:tcPr>
                  <w:tcW w:w="817"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67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3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bottom"/>
                </w:tcPr>
                <w:p>
                  <w:pPr>
                    <w:pStyle w:val="4"/>
                    <w:jc w:val="both"/>
                  </w:pPr>
                  <w:r>
                    <w:rPr>
                      <w:sz w:val="21"/>
                    </w:rPr>
                    <w:t>18</w:t>
                  </w:r>
                </w:p>
              </w:tc>
              <w:tc>
                <w:tcPr>
                  <w:tcW w:w="1026" w:type="dxa"/>
                  <w:gridSpan w:val="2"/>
                  <w:tcBorders>
                    <w:top w:val="nil"/>
                    <w:left w:val="nil"/>
                    <w:bottom w:val="single" w:color="000000" w:sz="4" w:space="0"/>
                    <w:right w:val="single" w:color="000000" w:sz="4" w:space="0"/>
                  </w:tcBorders>
                  <w:tcMar>
                    <w:top w:w="15" w:type="dxa"/>
                    <w:left w:w="15" w:type="dxa"/>
                    <w:bottom w:w="0" w:type="dxa"/>
                    <w:right w:w="15" w:type="dxa"/>
                  </w:tcMar>
                  <w:vAlign w:val="bottom"/>
                </w:tcPr>
                <w:p>
                  <w:pPr>
                    <w:pStyle w:val="4"/>
                    <w:jc w:val="both"/>
                  </w:pPr>
                  <w:r>
                    <w:rPr>
                      <w:sz w:val="21"/>
                    </w:rPr>
                    <w:t>系统集成</w:t>
                  </w:r>
                </w:p>
              </w:tc>
              <w:tc>
                <w:tcPr>
                  <w:tcW w:w="926" w:type="dxa"/>
                  <w:tcBorders>
                    <w:top w:val="nil"/>
                    <w:left w:val="nil"/>
                    <w:bottom w:val="single" w:color="000000" w:sz="4" w:space="0"/>
                    <w:right w:val="single" w:color="000000" w:sz="4" w:space="0"/>
                  </w:tcBorders>
                  <w:tcMar>
                    <w:top w:w="15" w:type="dxa"/>
                    <w:left w:w="15" w:type="dxa"/>
                    <w:bottom w:w="0" w:type="dxa"/>
                    <w:right w:w="15" w:type="dxa"/>
                  </w:tcMar>
                  <w:vAlign w:val="bottom"/>
                </w:tcPr>
                <w:p>
                  <w:pPr>
                    <w:pStyle w:val="4"/>
                    <w:ind w:firstLine="420"/>
                    <w:jc w:val="center"/>
                  </w:pPr>
                  <w:r>
                    <w:rPr>
                      <w:sz w:val="21"/>
                    </w:rPr>
                    <w:t>1</w:t>
                  </w:r>
                </w:p>
              </w:tc>
              <w:tc>
                <w:tcPr>
                  <w:tcW w:w="820" w:type="dxa"/>
                  <w:gridSpan w:val="3"/>
                  <w:tcBorders>
                    <w:top w:val="nil"/>
                    <w:left w:val="nil"/>
                    <w:bottom w:val="single" w:color="000000" w:sz="4" w:space="0"/>
                    <w:right w:val="single" w:color="000000" w:sz="4" w:space="0"/>
                  </w:tcBorders>
                  <w:tcMar>
                    <w:top w:w="15" w:type="dxa"/>
                    <w:left w:w="15" w:type="dxa"/>
                    <w:bottom w:w="0" w:type="dxa"/>
                    <w:right w:w="15" w:type="dxa"/>
                  </w:tcMar>
                  <w:vAlign w:val="bottom"/>
                </w:tcPr>
                <w:p>
                  <w:pPr>
                    <w:pStyle w:val="4"/>
                    <w:ind w:firstLine="420"/>
                    <w:jc w:val="center"/>
                  </w:pPr>
                  <w:r>
                    <w:rPr>
                      <w:sz w:val="21"/>
                    </w:rPr>
                    <w:t>项</w:t>
                  </w:r>
                </w:p>
              </w:tc>
              <w:tc>
                <w:tcPr>
                  <w:tcW w:w="978"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ind w:firstLine="440"/>
                    <w:jc w:val="right"/>
                  </w:pPr>
                  <w:r>
                    <w:rPr>
                      <w:sz w:val="22"/>
                    </w:rPr>
                    <w:t>3.2</w:t>
                  </w:r>
                </w:p>
              </w:tc>
              <w:tc>
                <w:tcPr>
                  <w:tcW w:w="817"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67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sz w:val="21"/>
                    </w:rPr>
                    <w:t>E</w:t>
                  </w:r>
                </w:p>
              </w:tc>
              <w:tc>
                <w:tcPr>
                  <w:tcW w:w="2772" w:type="dxa"/>
                  <w:gridSpan w:val="6"/>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978"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b/>
                      <w:sz w:val="21"/>
                    </w:rPr>
                    <w:t>500</w:t>
                  </w:r>
                </w:p>
              </w:tc>
              <w:tc>
                <w:tcPr>
                  <w:tcW w:w="817"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67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tc>
              <w:tc>
                <w:tcPr>
                  <w:tcW w:w="3750" w:type="dxa"/>
                  <w:gridSpan w:val="9"/>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b/>
                      <w:sz w:val="21"/>
                    </w:rPr>
                    <w:t>总计=A+B+C+D+E</w:t>
                  </w:r>
                </w:p>
              </w:tc>
              <w:tc>
                <w:tcPr>
                  <w:tcW w:w="817"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1750.00</w:t>
                  </w:r>
                </w:p>
              </w:tc>
              <w:tc>
                <w:tcPr>
                  <w:tcW w:w="67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r>
          </w:tbl>
          <w:p>
            <w:pPr>
              <w:pStyle w:val="4"/>
              <w:jc w:val="left"/>
              <w:outlineLvl w:val="2"/>
            </w:pPr>
            <w:r>
              <w:rPr>
                <w:b/>
                <w:color w:val="000000"/>
                <w:sz w:val="32"/>
              </w:rPr>
              <w:t>1.2.采购参数具体要求</w:t>
            </w:r>
          </w:p>
          <w:p>
            <w:pPr>
              <w:pStyle w:val="4"/>
              <w:spacing w:before="285" w:after="285"/>
              <w:jc w:val="left"/>
              <w:outlineLvl w:val="3"/>
            </w:pPr>
            <w:r>
              <w:rPr>
                <w:b/>
                <w:color w:val="000000"/>
                <w:sz w:val="28"/>
              </w:rPr>
              <w:t>1.2.1.应用软件开发</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82"/>
              <w:gridCol w:w="849"/>
              <w:gridCol w:w="1119"/>
              <w:gridCol w:w="2287"/>
              <w:gridCol w:w="84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1"/>
                    </w:rPr>
                    <w:t>序号</w:t>
                  </w:r>
                </w:p>
              </w:tc>
              <w:tc>
                <w:tcPr>
                  <w:tcW w:w="84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1"/>
                    </w:rPr>
                    <w:t>分类</w:t>
                  </w:r>
                </w:p>
              </w:tc>
              <w:tc>
                <w:tcPr>
                  <w:tcW w:w="111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1"/>
                    </w:rPr>
                    <w:t>系统</w:t>
                  </w:r>
                </w:p>
              </w:tc>
              <w:tc>
                <w:tcPr>
                  <w:tcW w:w="228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1"/>
                    </w:rPr>
                    <w:t>功能</w:t>
                  </w:r>
                </w:p>
              </w:tc>
              <w:tc>
                <w:tcPr>
                  <w:tcW w:w="84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1"/>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21"/>
                    </w:rPr>
                    <w:t>1</w:t>
                  </w:r>
                </w:p>
              </w:tc>
              <w:tc>
                <w:tcPr>
                  <w:tcW w:w="84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21"/>
                    </w:rPr>
                    <w:t>基础管理</w:t>
                  </w:r>
                </w:p>
              </w:tc>
              <w:tc>
                <w:tcPr>
                  <w:tcW w:w="11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基础数据管理平台</w:t>
                  </w: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基础数据管理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产品配置管理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权限管理系统</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日志管理系统</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基础数据导入导出系统</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临床知识库管理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主要应用场景</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基础平台</w:t>
                  </w: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用户管理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代码表</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界面编辑器</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列编辑器</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组件/菜单管理器</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规则管理器</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2</w:t>
                  </w:r>
                </w:p>
              </w:tc>
              <w:tc>
                <w:tcPr>
                  <w:tcW w:w="84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门(急)诊管理</w:t>
                  </w:r>
                </w:p>
              </w:tc>
              <w:tc>
                <w:tcPr>
                  <w:tcW w:w="11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一卡通管理系统</w:t>
                  </w: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建卡</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基本信息采集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数据质量控制</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患者主索引注册</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患者信息修改</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卡信息合并</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患者信息查询</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卡管理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门诊预约挂号系统</w:t>
                  </w: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门诊挂号/取号</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诊间预约/加号</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窗口预约</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退号</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预约管理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预约信息一览表</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挂号查询</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医生坐诊信息调整</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排班模板维护</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生成排班记录</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出诊查询</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停替诊查询</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号源信息汇总</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黑名单维护</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急诊预检分诊系统</w:t>
                  </w: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患者列表</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基本信息</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其他信息</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当前信息</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来诊主诉</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分诊分级</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凭条打印</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腕带打印</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读取生命体征</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修改挂号时间</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群伤管理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重大事件</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上传图片</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干预措施</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出租用品</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分诊查询</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门诊分诊排队叫号系统</w:t>
                  </w: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医生实时出诊信息</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分诊规则设置</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信息获取</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诊室分配</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就诊排队干预</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时间段设置</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就诊提醒</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统计查询</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门急诊挂号收费系统</w:t>
                  </w: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门急诊预交金充值</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门急诊预交金退款</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门急诊账户结算</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发票管理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补录费用</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门急诊费用结算</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锁定就诊</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跳号</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门急诊收费异常处理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发票集中打印</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退费申请</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退费审核</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门急诊退费</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医保业务处理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门急诊收据查询</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打印患者费用清单</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收费员日结</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收费员日结汇总</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门急诊发票管理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医技计费</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门急诊医生工作站</w:t>
                  </w: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自动获取信息和医嘱监控</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历史就诊记录</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核算功能</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诊断录入</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医嘱录入</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检查检验申请</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治疗申请</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中草药录入</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处方处理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绿色通道</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更新病人信息</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一键打印</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医疗质量控制</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电子病历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医生服务</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统计查询</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其它</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门急诊输液管理</w:t>
                  </w: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配液申请</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接收申请</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配伍审核</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配液打签</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排药</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核对</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配置</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复核</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配液交接</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配液综合查询</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配液退药</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移动门急诊配液</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日间手术管理系统</w:t>
                  </w: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开立住院证及院前检查检验医嘱</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交预住院押金</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执行检验检查医嘱</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日间手术麻醉术前评估</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日间手术评估</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日间手术正式确认</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床位预约</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麻醉及手术安排</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转入住院</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日间手术麻醉术后评估</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日间手术出院评估</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日间手术随访</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门诊费用转住院</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日间手术的相关统计</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急诊留观系统</w:t>
                  </w: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病人列表</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信息总览</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诊断录入</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医嘱录入</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中草药录入</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检查检验申请</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过敏录入</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医嘱查询</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总览打印</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检查查询</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检验查询</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办理住院</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手术管理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急诊担保</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状态变更</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修改分级</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病情总览</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绿色通道</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预交金评估</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急诊会诊</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床旁交接班</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护士执行</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医嘱需关注</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补录医嘱</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病人状态查询</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急诊床位图</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护士交接班</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体温单</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急诊转科</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待入院管理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转住院交接单</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病历浏览</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护理单</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3</w:t>
                  </w:r>
                </w:p>
              </w:tc>
              <w:tc>
                <w:tcPr>
                  <w:tcW w:w="84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住院管理</w:t>
                  </w:r>
                </w:p>
              </w:tc>
              <w:tc>
                <w:tcPr>
                  <w:tcW w:w="11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住院收费系统</w:t>
                  </w: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押金收据管理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住院发票管理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住院押金管理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出院管理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住院担保</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中途结算</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“欠费/结存”结算</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欠费患者转出与补交</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住院费用核查</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取消中途结算</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出院结算</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取消结算</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打印押金催款单</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打印病人费用明细单</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打印病人每日费用明细单</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打印病人预交金明细账</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收款员日报表</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住院收费查询</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收费员日结</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收费员日结汇总</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医技收费</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住院出入转管理</w:t>
                  </w: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入院登记</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退院</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医保登记</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取消医保登记</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打印腕带</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患者信息修改</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患者信息修改查询</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入院分床</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入院撤销</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医疗结算</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最终结算</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财务结算</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出院召回</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补记账</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出院患者账页</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转科需关注</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转科</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转病区</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分床</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转移记录</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住院医生工作站</w:t>
                  </w: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住院病人列表</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信息总览</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诊断录入</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检查检验申请</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治疗申请</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医嘱录入</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中草药录入</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诊疗计划</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交班本</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住院护士工作站</w:t>
                  </w: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床位图</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患者信息展示</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查询统计提醒</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基于床位的快捷操作</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护士执行</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领药审核</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生命体征</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医嘱单</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需关注</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标本运送</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更新采血时间</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出院召回</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费用调整</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病区床位管理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分娩管理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费用管理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统计查询</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住院静配中心系统</w:t>
                  </w: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配液审核</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配液排批</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配液打签</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配液分签</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配液排药</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贴签</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排药核对</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舱内配置</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出舱复核</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装箱</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扫码送货</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病区接收</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病区核对</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配液大屏显示</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查询统计</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住院准备中心系统</w:t>
                  </w: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开住院证</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预约登记</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预约管理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住院登记</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病区分配床位</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病区床位管理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医嘱释放床位</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4</w:t>
                  </w:r>
                </w:p>
              </w:tc>
              <w:tc>
                <w:tcPr>
                  <w:tcW w:w="84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药品管理</w:t>
                  </w:r>
                </w:p>
              </w:tc>
              <w:tc>
                <w:tcPr>
                  <w:tcW w:w="11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门急诊药房管理系统</w:t>
                  </w: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配药</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发药</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退药申请</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退药</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发药查询</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退药查询</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工作量统计</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日消耗查询</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发药统计</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住院药房管理系统</w:t>
                  </w: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配药</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发药</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退药申请</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退药</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发药查询</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退药查询</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综合查询</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药房工作量</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发药统计</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月报</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药库管理系统</w:t>
                  </w: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药品信息维护</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调价</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入库</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出库</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报损</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盘点</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多库房管理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有效期管理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呆滞管理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动销管理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入库统计</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出库统计</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月报管理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5</w:t>
                  </w:r>
                </w:p>
              </w:tc>
              <w:tc>
                <w:tcPr>
                  <w:tcW w:w="84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电子病历</w:t>
                  </w:r>
                </w:p>
              </w:tc>
              <w:tc>
                <w:tcPr>
                  <w:tcW w:w="11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结构化病历编辑器</w:t>
                  </w: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结构化病历编辑器</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门（急）诊电子病历系统</w:t>
                  </w: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门（急）诊病历编辑</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病历模板库管理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系统配置管理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病历权限管理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自助机打印</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门（急）诊病历补打</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住院电子病历系统</w:t>
                  </w: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病历模板库管理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住院病历编辑</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电子病历浏览器</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电子病历术语管理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系统配置管理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隐私保护管理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图片生成</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护理电子病历系统</w:t>
                  </w: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体温单</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血糖单</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评估单</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中医专科评估单</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电子病历质控系统</w:t>
                  </w: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系统配置管理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病历质控提示列表</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科室级质控</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院级质控</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质控报表</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6</w:t>
                  </w:r>
                </w:p>
              </w:tc>
              <w:tc>
                <w:tcPr>
                  <w:tcW w:w="84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医技管理</w:t>
                  </w:r>
                </w:p>
              </w:tc>
              <w:tc>
                <w:tcPr>
                  <w:tcW w:w="11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医技计费管理系统</w:t>
                  </w: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基本查询</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执行批处理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执行补费</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待检信息显示</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受检顺序调整</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补医嘱计费</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附加医嘱计费</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手术计费管理系统</w:t>
                  </w: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门诊手术管理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住院手术管理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体检系统</w:t>
                  </w: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网上预约</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体检前台预约</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分诊排队</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体检采血</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体检科室医生</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体检收表管理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体检总检医生</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体检报告系统</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网上浏览体检报告</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体检收费</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体检卡管理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体检主任管理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体检高危信息查询</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体检统计查询</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职业病体检</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体检数据设置</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治疗管理系统</w:t>
                  </w: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治疗申请</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治疗分配</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治疗预约</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治疗</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7</w:t>
                  </w:r>
                </w:p>
              </w:tc>
              <w:tc>
                <w:tcPr>
                  <w:tcW w:w="84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医疗管理</w:t>
                  </w:r>
                </w:p>
              </w:tc>
              <w:tc>
                <w:tcPr>
                  <w:tcW w:w="11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会诊管理系统</w:t>
                  </w: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医生会诊</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护士会诊</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皮试管理系统</w:t>
                  </w: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患者信息</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皮试处理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皮试结果</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皮试历史记录查询</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皮试时间设置</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用户设置</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系统设置</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消息管理平台子系统</w:t>
                  </w: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基于消息的传递</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支持同步和异步交互方式</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基于消息内容的路由规则</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数据格式转换</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值域转换</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消息监控</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临床路径管理系统</w:t>
                  </w: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表单导入</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表单维护</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出入径管理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表单执行</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添加变异</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表单打印</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查询统计</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院感管理系统</w:t>
                  </w: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系统配置</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综合监测</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医院感染报告管理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目标性监测</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传染病管理上报系统</w:t>
                  </w: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诊间填报</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主动填报</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报告查询</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报告审核</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报告导出和打印</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传染病监控</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医务管理系统</w:t>
                  </w: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医务管理首页</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医疗质量统计分析</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医疗质量管理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医师人力资源管理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护理管理系统</w:t>
                  </w: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护理档案管理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科室事务管理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护理工作量管理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人员动态</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组织管理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护士长手册</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护理教学</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护理调查</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科研管理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专业组</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实习进修</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护理指标分析</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基础数据维护</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系统设置</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护理质量管理系统</w:t>
                  </w: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质控排班计划</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质控任务发布</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质控检查</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质控问题汇总</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质控统计分析</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单病种上报管理系统</w:t>
                  </w: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表单管理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表达式管理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出入组管理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统计分析</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数据上报</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过程质量监测与评价系统</w:t>
                  </w: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病案首页事中质控</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科室病案首页质控</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院级病案首页质控</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病案质控规则管理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病案首页质控数据报表</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抗菌药物管理系统</w:t>
                  </w: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抗菌抗肿瘤药物权限管理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抗菌抗肿瘤药物流程配置</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抗菌抗肿瘤药物功能配置</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抗菌药物联合用药管理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住院病案首页质量控制系统</w:t>
                  </w: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用户管理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角色管理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部门管理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字典管理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菜单管理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系统配置</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业务日志</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登陆日志</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监控管理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通知管理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代码生成</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统一叫号系统</w:t>
                  </w: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门诊挂号/取号</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诊间预约/加号</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窗口预约</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退号</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预约管理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预约信息一览表</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挂号查询</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医生坐诊信息调整</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排班模板维护</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生成排班记录</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出诊查询</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停替诊查询</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号源信息汇总</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黑名单维护</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疾病上报管理系统</w:t>
                  </w: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报告填报</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报告审核</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报告导出和打印</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查询统计</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8</w:t>
                  </w:r>
                </w:p>
              </w:tc>
              <w:tc>
                <w:tcPr>
                  <w:tcW w:w="84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财务管理</w:t>
                  </w:r>
                </w:p>
              </w:tc>
              <w:tc>
                <w:tcPr>
                  <w:tcW w:w="11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人力资源管理系统</w:t>
                  </w: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人事管理系统</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培训管理系统</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工资管理系统</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考勤管理系统</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财务票据管理</w:t>
                  </w: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基础设置</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票据管理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电子发票管理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备查簿管理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统计报表</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成本核算管理系统</w:t>
                  </w: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科室成本管理系统</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项目成本管理系统</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病种成本管理系统</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会计核算系统</w:t>
                  </w: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会计核算首页</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凭证管理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自动凭证</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账薄查询</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往来账管理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出纳账管理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工资管理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期末处理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财务报表</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固定资产管理系统</w:t>
                  </w: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采购管理系统</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库存管理系统</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高值耗材管理系统</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耐用品管理系统</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医嘱核销系统</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物资管理系统</w:t>
                  </w: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医疗设备租赁中心系统</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 xml:space="preserve">资产管理系统 </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大型医疗设备效益分析系统</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移动设备管理系统</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综合查询系统</w:t>
                  </w: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抗菌药物统计查询分析</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统计室报表系统</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院长查询系统</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阳光用药系统</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指标Cube系统</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基础数据查询</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统计查询套件</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核算报表系统</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财务报表系统</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病案统计系统</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三级医院绩效考核上报</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9</w:t>
                  </w:r>
                </w:p>
              </w:tc>
              <w:tc>
                <w:tcPr>
                  <w:tcW w:w="84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智慧药学</w:t>
                  </w:r>
                </w:p>
              </w:tc>
              <w:tc>
                <w:tcPr>
                  <w:tcW w:w="11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前置审方系统</w:t>
                  </w: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门诊开处方自动审核</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门诊处方手工审核</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门诊处方审核查询及申诉</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住院开医嘱自动审核</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住院医嘱手工审核</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住院医嘱审核查询及申诉</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合理用药管理系统</w:t>
                  </w: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知识管理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数据映射</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结构化知识编辑</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个性化规则编辑</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知识策略管理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安全用药智能分析</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知识检索</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处方点评系统</w:t>
                  </w: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生成点评单</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分配点评任务</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点评处方、点评医嘱</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查询统计</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10</w:t>
                  </w:r>
                </w:p>
              </w:tc>
              <w:tc>
                <w:tcPr>
                  <w:tcW w:w="84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患者服务</w:t>
                  </w:r>
                </w:p>
              </w:tc>
              <w:tc>
                <w:tcPr>
                  <w:tcW w:w="11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全资源预约平台</w:t>
                  </w: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统一床位预约管理系统</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统一医技预约管理系统</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统一手术预约管理系统</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统一治疗预约系统系统</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预约管理监控系统</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系统管理平台</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关联系统接口对接</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互联网医院系统</w:t>
                  </w: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互联网开放平台</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互联网支付平台</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消息平台</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互联网医院患者微信小程序</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互联网医院医生端APP应用</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药品配送服务</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互联网医院监管平台对接</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移动公众号服务平台（含网约护士）</w:t>
                  </w: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身份验证</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医院+互联网服务</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就诊信息查看</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个人中心</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信息维护</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诊间结算系统</w:t>
                  </w: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补录费用</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诊室结算</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药房结算</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医技科室</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发票集中打印</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床旁结算系统</w:t>
                  </w: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中途结算</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住院费用核查</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取消中途结算</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出院结算</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取消结算</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打印费用清单</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发票集中打印</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11</w:t>
                  </w:r>
                </w:p>
              </w:tc>
              <w:tc>
                <w:tcPr>
                  <w:tcW w:w="84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医护系统</w:t>
                  </w:r>
                </w:p>
              </w:tc>
              <w:tc>
                <w:tcPr>
                  <w:tcW w:w="11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移动医生系统</w:t>
                  </w: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登录管理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会诊管理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抗生素管理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危急值管理</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住院科室</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病人信息</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查看病人基本信息</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诊断信息</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查看病人诊断信息</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诊断录入</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查看病人医嘱信息</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检验报告</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查询检验列表</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查询检验结果详情</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查询单项检验结果折线图</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历次结果对比</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检查报告</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查询检查列表</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查看检查结果详情</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top w:val="nil"/>
                    <w:left w:val="single" w:color="000000" w:sz="4" w:space="0"/>
                    <w:bottom w:val="single" w:color="000000" w:sz="4" w:space="0"/>
                    <w:right w:val="single" w:color="000000" w:sz="4" w:space="0"/>
                  </w:tcBorders>
                </w:tcPr>
                <w:p/>
              </w:tc>
              <w:tc>
                <w:tcPr>
                  <w:tcW w:w="849" w:type="dxa"/>
                  <w:vMerge w:val="continue"/>
                  <w:tcBorders>
                    <w:top w:val="nil"/>
                    <w:left w:val="single" w:color="000000" w:sz="4" w:space="0"/>
                    <w:bottom w:val="single" w:color="000000" w:sz="4" w:space="0"/>
                    <w:right w:val="single" w:color="000000" w:sz="4" w:space="0"/>
                  </w:tcBorders>
                </w:tcPr>
                <w:p/>
              </w:tc>
              <w:tc>
                <w:tcPr>
                  <w:tcW w:w="1119" w:type="dxa"/>
                  <w:vMerge w:val="continue"/>
                  <w:tcBorders>
                    <w:top w:val="nil"/>
                    <w:left w:val="single" w:color="000000" w:sz="4" w:space="0"/>
                    <w:bottom w:val="single" w:color="000000" w:sz="4" w:space="0"/>
                    <w:right w:val="single" w:color="000000" w:sz="4" w:space="0"/>
                  </w:tcBorders>
                </w:tcP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查看检查报告</w:t>
                  </w: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19"/>
                    </w:rPr>
                    <w:t xml:space="preserve"> </w:t>
                  </w:r>
                </w:p>
              </w:tc>
            </w:tr>
          </w:tbl>
          <w:p>
            <w:pPr>
              <w:pStyle w:val="4"/>
              <w:spacing w:before="285" w:after="285"/>
              <w:jc w:val="left"/>
              <w:outlineLvl w:val="3"/>
            </w:pPr>
            <w:r>
              <w:rPr>
                <w:b/>
                <w:color w:val="000000"/>
                <w:sz w:val="28"/>
              </w:rPr>
              <w:t>1.2.2.软件技术参数要求</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31"/>
              <w:gridCol w:w="545"/>
              <w:gridCol w:w="564"/>
              <w:gridCol w:w="650"/>
              <w:gridCol w:w="803"/>
              <w:gridCol w:w="380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single" w:color="000000" w:sz="4" w:space="0"/>
                    <w:left w:val="single" w:color="000000" w:sz="4" w:space="0"/>
                    <w:bottom w:val="single" w:color="000000" w:sz="4" w:space="0"/>
                    <w:right w:val="single" w:color="000000" w:sz="4" w:space="0"/>
                  </w:tcBorders>
                  <w:shd w:val="clear" w:color="auto" w:fill="BEBEBE"/>
                  <w:tcMar>
                    <w:top w:w="0" w:type="dxa"/>
                    <w:left w:w="105" w:type="dxa"/>
                    <w:bottom w:w="0" w:type="dxa"/>
                    <w:right w:w="105" w:type="dxa"/>
                  </w:tcMar>
                  <w:vAlign w:val="top"/>
                </w:tcPr>
                <w:p>
                  <w:pPr>
                    <w:pStyle w:val="4"/>
                    <w:jc w:val="center"/>
                  </w:pPr>
                  <w:r>
                    <w:rPr>
                      <w:b/>
                      <w:color w:val="000000"/>
                      <w:sz w:val="22"/>
                    </w:rPr>
                    <w:t>参数性质</w:t>
                  </w:r>
                </w:p>
              </w:tc>
              <w:tc>
                <w:tcPr>
                  <w:tcW w:w="452" w:type="dxa"/>
                  <w:tcBorders>
                    <w:top w:val="single" w:color="000000" w:sz="4" w:space="0"/>
                    <w:left w:val="nil"/>
                    <w:bottom w:val="single" w:color="000000" w:sz="4" w:space="0"/>
                    <w:right w:val="single" w:color="000000" w:sz="4" w:space="0"/>
                  </w:tcBorders>
                  <w:shd w:val="clear" w:color="auto" w:fill="BEBEBE"/>
                  <w:tcMar>
                    <w:top w:w="0" w:type="dxa"/>
                    <w:left w:w="105" w:type="dxa"/>
                    <w:bottom w:w="0" w:type="dxa"/>
                    <w:right w:w="105" w:type="dxa"/>
                  </w:tcMar>
                  <w:vAlign w:val="top"/>
                </w:tcPr>
                <w:p>
                  <w:pPr>
                    <w:pStyle w:val="4"/>
                    <w:jc w:val="center"/>
                  </w:pPr>
                  <w:r>
                    <w:rPr>
                      <w:b/>
                      <w:color w:val="000000"/>
                      <w:sz w:val="22"/>
                    </w:rPr>
                    <w:t>序号</w:t>
                  </w:r>
                </w:p>
              </w:tc>
              <w:tc>
                <w:tcPr>
                  <w:tcW w:w="464" w:type="dxa"/>
                  <w:tcBorders>
                    <w:top w:val="single" w:color="000000" w:sz="4" w:space="0"/>
                    <w:left w:val="nil"/>
                    <w:bottom w:val="single" w:color="000000" w:sz="4" w:space="0"/>
                    <w:right w:val="single" w:color="000000" w:sz="4" w:space="0"/>
                  </w:tcBorders>
                  <w:shd w:val="clear" w:color="auto" w:fill="BEBEBE"/>
                  <w:tcMar>
                    <w:top w:w="0" w:type="dxa"/>
                    <w:left w:w="105" w:type="dxa"/>
                    <w:bottom w:w="0" w:type="dxa"/>
                    <w:right w:w="105" w:type="dxa"/>
                  </w:tcMar>
                  <w:vAlign w:val="top"/>
                </w:tcPr>
                <w:p>
                  <w:pPr>
                    <w:pStyle w:val="4"/>
                    <w:jc w:val="center"/>
                  </w:pPr>
                  <w:r>
                    <w:rPr>
                      <w:b/>
                      <w:color w:val="000000"/>
                      <w:sz w:val="22"/>
                    </w:rPr>
                    <w:t>一级功能模块</w:t>
                  </w:r>
                </w:p>
              </w:tc>
              <w:tc>
                <w:tcPr>
                  <w:tcW w:w="857" w:type="dxa"/>
                  <w:tcBorders>
                    <w:top w:val="single" w:color="000000" w:sz="4" w:space="0"/>
                    <w:left w:val="nil"/>
                    <w:bottom w:val="single" w:color="000000" w:sz="4" w:space="0"/>
                    <w:right w:val="single" w:color="000000" w:sz="4" w:space="0"/>
                  </w:tcBorders>
                  <w:shd w:val="clear" w:color="auto" w:fill="BEBEBE"/>
                  <w:tcMar>
                    <w:top w:w="0" w:type="dxa"/>
                    <w:left w:w="105" w:type="dxa"/>
                    <w:bottom w:w="0" w:type="dxa"/>
                    <w:right w:w="105" w:type="dxa"/>
                  </w:tcMar>
                  <w:vAlign w:val="top"/>
                </w:tcPr>
                <w:p>
                  <w:pPr>
                    <w:pStyle w:val="4"/>
                    <w:jc w:val="center"/>
                  </w:pPr>
                  <w:r>
                    <w:rPr>
                      <w:b/>
                      <w:color w:val="000000"/>
                      <w:sz w:val="22"/>
                    </w:rPr>
                    <w:t>二级功能模块</w:t>
                  </w:r>
                </w:p>
              </w:tc>
              <w:tc>
                <w:tcPr>
                  <w:tcW w:w="643" w:type="dxa"/>
                  <w:tcBorders>
                    <w:top w:val="single" w:color="000000" w:sz="4" w:space="0"/>
                    <w:left w:val="nil"/>
                    <w:bottom w:val="single" w:color="000000" w:sz="4" w:space="0"/>
                    <w:right w:val="single" w:color="000000" w:sz="4" w:space="0"/>
                  </w:tcBorders>
                  <w:shd w:val="clear" w:color="auto" w:fill="BEBEBE"/>
                  <w:tcMar>
                    <w:top w:w="0" w:type="dxa"/>
                    <w:left w:w="105" w:type="dxa"/>
                    <w:bottom w:w="0" w:type="dxa"/>
                    <w:right w:w="105" w:type="dxa"/>
                  </w:tcMar>
                  <w:vAlign w:val="top"/>
                </w:tcPr>
                <w:p>
                  <w:pPr>
                    <w:pStyle w:val="4"/>
                    <w:jc w:val="center"/>
                  </w:pPr>
                  <w:r>
                    <w:rPr>
                      <w:b/>
                      <w:color w:val="000000"/>
                      <w:sz w:val="22"/>
                    </w:rPr>
                    <w:t>三级功能模块</w:t>
                  </w:r>
                </w:p>
              </w:tc>
              <w:tc>
                <w:tcPr>
                  <w:tcW w:w="2834" w:type="dxa"/>
                  <w:tcBorders>
                    <w:top w:val="single" w:color="000000" w:sz="4" w:space="0"/>
                    <w:left w:val="nil"/>
                    <w:bottom w:val="single" w:color="000000" w:sz="4" w:space="0"/>
                    <w:right w:val="single" w:color="000000" w:sz="4" w:space="0"/>
                  </w:tcBorders>
                  <w:shd w:val="clear" w:color="auto" w:fill="BEBEBE"/>
                  <w:tcMar>
                    <w:top w:w="0" w:type="dxa"/>
                    <w:left w:w="105" w:type="dxa"/>
                    <w:bottom w:w="0" w:type="dxa"/>
                    <w:right w:w="105" w:type="dxa"/>
                  </w:tcMar>
                  <w:vAlign w:val="top"/>
                </w:tcPr>
                <w:p>
                  <w:pPr>
                    <w:pStyle w:val="4"/>
                    <w:jc w:val="center"/>
                  </w:pPr>
                  <w:r>
                    <w:rPr>
                      <w:b/>
                      <w:color w:val="000000"/>
                      <w:sz w:val="22"/>
                    </w:rPr>
                    <w:t>具体技术（参数）要求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w:t>
                  </w:r>
                </w:p>
              </w:tc>
              <w:tc>
                <w:tcPr>
                  <w:tcW w:w="46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应用支撑平台</w:t>
                  </w: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基础数据管理平台</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基础数据管理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其中包括用户医护人员、科室病区信息、医嘱项和医嘱套、医嘱与结果、病人管理、地理信息、电子病历、库存、手术和过程、新生儿、药学、资源预约、结算菜单、药品维护、物资维护、计费维护、急诊分诊维护、检验等多个数据维护模块。基础数据管理将所有维护基础数据的页面整合到一起，然后进行优化，尽量减少用户操作量，将常用数据维护功能整合到一起，并增加数据实时校验和快捷键操作等功能，使客户可以获得更好的用户体验。同时又保证了基础数据的准确性，并通过多方位数据安全保障方案，使用户可以更方便、更快捷、更安全的管理基础数据。</w:t>
                  </w:r>
                  <w:r>
                    <w:br w:type="textWrapping"/>
                  </w:r>
                  <w:r>
                    <w:rPr>
                      <w:color w:val="000000"/>
                      <w:sz w:val="22"/>
                    </w:rPr>
                    <w:t>丰富的标准化功能接口和可扩展性。</w:t>
                  </w:r>
                  <w:r>
                    <w:br w:type="textWrapping"/>
                  </w:r>
                  <w:r>
                    <w:rPr>
                      <w:color w:val="000000"/>
                      <w:sz w:val="22"/>
                    </w:rPr>
                    <w:t>数据维护权限管理、数据别名、数据翻译、数据排序、国家/区域标准编码对照等标准接口，使平台有良好的可扩展性。</w:t>
                  </w:r>
                  <w:r>
                    <w:br w:type="textWrapping"/>
                  </w:r>
                  <w:r>
                    <w:rPr>
                      <w:color w:val="000000"/>
                      <w:sz w:val="22"/>
                    </w:rPr>
                    <w:t>优质的用户体验。</w:t>
                  </w:r>
                  <w:r>
                    <w:br w:type="textWrapping"/>
                  </w:r>
                  <w:r>
                    <w:rPr>
                      <w:color w:val="000000"/>
                      <w:sz w:val="22"/>
                    </w:rPr>
                    <w:t>全键盘操作、用户操作习惯保存、快捷键、在线帮助、多维检索、实时数据校验、数据删除监测等功能融合在一起。</w:t>
                  </w:r>
                  <w:r>
                    <w:br w:type="textWrapping"/>
                  </w:r>
                  <w:r>
                    <w:rPr>
                      <w:color w:val="000000"/>
                      <w:sz w:val="22"/>
                    </w:rPr>
                    <w:t>1、用户医护人员</w:t>
                  </w:r>
                  <w:r>
                    <w:br w:type="textWrapping"/>
                  </w:r>
                  <w:r>
                    <w:rPr>
                      <w:color w:val="000000"/>
                      <w:sz w:val="22"/>
                    </w:rPr>
                    <w:t>用户数据展示方式为列表型，将所有数据按照添加顺序依次展示，可以根据选择左侧树登录科室、资源科室、安全组、医护人员类型、医院等分类查询某一个分类下的用户数据。</w:t>
                  </w:r>
                  <w:r>
                    <w:br w:type="textWrapping"/>
                  </w:r>
                  <w:r>
                    <w:rPr>
                      <w:color w:val="000000"/>
                      <w:sz w:val="22"/>
                    </w:rPr>
                    <w:t>可以新增、修改、删除用户信息，并给用户分配科室和登录权限。主要涉及用户有财务科用户、信息科用户、医生、护士、技师、药师和管理员用户等，在新增医生或护士类型的用户时，可以选择同步生成一个同名的医护人员数据。</w:t>
                  </w:r>
                  <w:r>
                    <w:br w:type="textWrapping"/>
                  </w:r>
                  <w:r>
                    <w:rPr>
                      <w:color w:val="000000"/>
                      <w:sz w:val="22"/>
                    </w:rPr>
                    <w:t>2、科室病区信息</w:t>
                  </w:r>
                  <w:r>
                    <w:br w:type="textWrapping"/>
                  </w:r>
                  <w:r>
                    <w:rPr>
                      <w:color w:val="000000"/>
                      <w:sz w:val="22"/>
                    </w:rPr>
                    <w:t>此部分包含系统中所有科室基本信息、门诊/住院科室设置、病区床位、床位设置、科室与病区关联关系维护、科室与医护人员管理关系维护、预住院病区等各类基础信息的维护。</w:t>
                  </w:r>
                  <w:r>
                    <w:br w:type="textWrapping"/>
                  </w:r>
                  <w:r>
                    <w:rPr>
                      <w:color w:val="000000"/>
                      <w:sz w:val="22"/>
                    </w:rPr>
                    <w:t>科室数据展示方式为列表型，将所有数据按照添加顺序依次展示。可以根据选择左侧科室类型、部门组、医院，查看某一个分类下的科室数据。可以新增、修改、删除科室信息，并给科室关联医护人员信息，设置科室分类，分配科室接收消息权限和维护病区的床位信息，并可以控制科室开启预住院病区收治限制。</w:t>
                  </w:r>
                  <w:r>
                    <w:br w:type="textWrapping"/>
                  </w:r>
                  <w:r>
                    <w:rPr>
                      <w:color w:val="000000"/>
                      <w:sz w:val="22"/>
                    </w:rPr>
                    <w:t>3、医嘱项</w:t>
                  </w:r>
                  <w:r>
                    <w:br w:type="textWrapping"/>
                  </w:r>
                  <w:r>
                    <w:rPr>
                      <w:color w:val="000000"/>
                      <w:sz w:val="22"/>
                    </w:rPr>
                    <w:t>医嘱项是整个HIS业务非常重要的数据，医生站、护士站、计费组、检查检验等业务都是在医嘱项数据的基础上展开的。</w:t>
                  </w:r>
                  <w:r>
                    <w:br w:type="textWrapping"/>
                  </w:r>
                  <w:r>
                    <w:rPr>
                      <w:color w:val="000000"/>
                      <w:sz w:val="22"/>
                    </w:rPr>
                    <w:t>医嘱项数据涉及药品、检查、检验、治疗、物资材料等信息。页面功能包括医嘱项信息、医嘱项别名、医嘱项关联过敏原、医嘱项关联外部代码、医嘱项年龄性别限制、医嘱项关联医院、医嘱项接收科室的增删改查功能，以及医嘱项与收费项的对照。可以将查询到的医嘱项及收费项数据信息导出到表格。</w:t>
                  </w:r>
                  <w:r>
                    <w:br w:type="textWrapping"/>
                  </w:r>
                  <w:r>
                    <w:rPr>
                      <w:color w:val="000000"/>
                      <w:sz w:val="22"/>
                    </w:rPr>
                    <w:t>对于检验类医嘱项，必须维护外部代码，LIS有一套检验的数据，通过医嘱项外部代码与LIS项目进行关联，需要LIS返回检验结果的检验医嘱都需要关联。</w:t>
                  </w:r>
                  <w:r>
                    <w:br w:type="textWrapping"/>
                  </w:r>
                  <w:r>
                    <w:rPr>
                      <w:color w:val="000000"/>
                      <w:sz w:val="22"/>
                    </w:rPr>
                    <w:t>材料医嘱的医嘱项与收费项关联都是一对一的关系；药品医嘱的医嘱项通过医嘱项被不同的库存项关联、库存项关联收费项，实现和收费项对照，会有一对一和一对多(中草药)的关系；检查、检验和治疗医嘱的医嘱项与收费项会有一对一和一对多的关系，有些医嘱如果不收费，可以不对应收费项，或者是关联一个价格为0的收费项目(比如转科医嘱，不同的项目处理方式不一样)。在医嘱项页面与收费项关联的时候，只能关联有效的收费项。</w:t>
                  </w:r>
                  <w:r>
                    <w:br w:type="textWrapping"/>
                  </w:r>
                  <w:r>
                    <w:rPr>
                      <w:color w:val="000000"/>
                      <w:sz w:val="22"/>
                    </w:rPr>
                    <w:t>4、收费项</w:t>
                  </w:r>
                  <w:r>
                    <w:br w:type="textWrapping"/>
                  </w:r>
                  <w:r>
                    <w:rPr>
                      <w:color w:val="000000"/>
                      <w:sz w:val="22"/>
                    </w:rPr>
                    <w:t>此部分包含收费项信息，收费项价格信息，收费项别名信息，收费项与医嘱项关联，及收费项与医保目录对照信息的增删改查功能。页面左侧为收费项的各个分类，用树形展示，点击某个分类右侧可以显示这个分类下的收费项数据。</w:t>
                  </w:r>
                  <w:r>
                    <w:br w:type="textWrapping"/>
                  </w:r>
                  <w:r>
                    <w:rPr>
                      <w:color w:val="000000"/>
                      <w:sz w:val="22"/>
                    </w:rPr>
                    <w:t>在每次增加收费项的时候，收费项目的分类信息可以根据左侧选择的分类下的数据信息自动补全分类信息，不必手工录入，减少维护量。增加收费项的时候可以选择是否要同步增加医嘱项并一对一关联。</w:t>
                  </w:r>
                  <w:r>
                    <w:br w:type="textWrapping"/>
                  </w:r>
                  <w:r>
                    <w:rPr>
                      <w:color w:val="000000"/>
                      <w:sz w:val="22"/>
                    </w:rPr>
                    <w:t>在将一个收费项改为无效的时候，会弹出收费项和医嘱项的关联关系弹窗，可以选择数据实现是否要停用医嘱项和收费项的对照关系，如果医嘱项只关联了这一条收费项，会把医嘱项和这条收费项的对照关系和这条医嘱项停用；如果医嘱项关联了多条收费项，则只停用医嘱项和这条收费项的对照关系。</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配置管理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配置管理集成了本次配置的医疗业务系统的配置管理，共设计上千种配置，提供一站式产品配置管理与服务，让使用者修改配置时更得心应手，提升维护的用户体验和效率。并且加以一套数据安全的保障方案。</w:t>
                  </w:r>
                  <w:r>
                    <w:br w:type="textWrapping"/>
                  </w:r>
                  <w:r>
                    <w:rPr>
                      <w:color w:val="000000"/>
                      <w:sz w:val="22"/>
                    </w:rPr>
                    <w:t>主要包含以下的配置：</w:t>
                  </w:r>
                  <w:r>
                    <w:br w:type="textWrapping"/>
                  </w:r>
                  <w:r>
                    <w:rPr>
                      <w:color w:val="000000"/>
                      <w:sz w:val="22"/>
                    </w:rPr>
                    <w:t>药品系统、物资系统、计费系统、患者主索引配置、挂号排班配置、门诊分诊系统、医生站、治疗科室配置、临床药理试验、抗菌药物、检查医嘱、护理系统、门诊收费、住院收费、医保业务、住院药房、静脉配液中心、处方点评、RIS预约平台、综合查询、手术麻醉、重症监护、血液透析、临床药学服务平台、医院信息平台、不良事件、叫号系统、危急值平台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w:t>
                  </w: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权限管理系统</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68"/>
                    <w:jc w:val="left"/>
                  </w:pPr>
                  <w:r>
                    <w:rPr>
                      <w:color w:val="000000"/>
                      <w:sz w:val="22"/>
                    </w:rPr>
                    <w:t>▲权限管理系统：要求能够解决医院信息化建设中需要将基础数据维护权限分配给各职能科室、临床科室的问题。权限管理系统整体要求包含三维立体权限管理和医院级授权(数据隔离),具体要求包含菜单授权、功能元素授权、基础数据授权等。(提供功能截图证明或重点功能响应承诺函（格式自拟），并加盖投标人公章)</w:t>
                  </w:r>
                </w:p>
                <w:p>
                  <w:pPr>
                    <w:pStyle w:val="4"/>
                    <w:ind w:firstLine="440"/>
                    <w:jc w:val="left"/>
                  </w:pPr>
                  <w:r>
                    <w:rPr>
                      <w:color w:val="000000"/>
                      <w:sz w:val="22"/>
                    </w:rPr>
                    <w:t>权限管理系统主要包含了三维立体权限管理(3DAuthorization)和医院级授权(数据隔离)。其中包含了菜单授权、功能元素授权、基础数据授权相结合，满足了医院信息化建设中需要将基础数据维护权限分配给各职能科室、临床科室的问题。</w:t>
                  </w:r>
                  <w:r>
                    <w:br w:type="textWrapping"/>
                  </w:r>
                  <w:r>
                    <w:rPr>
                      <w:color w:val="000000"/>
                      <w:sz w:val="22"/>
                    </w:rPr>
                    <w:t>1)菜单授权</w:t>
                  </w:r>
                  <w:r>
                    <w:br w:type="textWrapping"/>
                  </w:r>
                  <w:r>
                    <w:rPr>
                      <w:color w:val="000000"/>
                      <w:sz w:val="22"/>
                    </w:rPr>
                    <w:t>授权角色所能看到基础数据平台下哪些页面，实现维护界面分离，保障数据安全，不让角色看到并操作他没有权限的数据。比如，只能让财务科看到收费项维护页面，而其他的科室都没有这个权限。</w:t>
                  </w:r>
                  <w:r>
                    <w:br w:type="textWrapping"/>
                  </w:r>
                  <w:r>
                    <w:rPr>
                      <w:color w:val="000000"/>
                      <w:sz w:val="22"/>
                    </w:rPr>
                    <w:t>2)基础数据授权</w:t>
                  </w:r>
                  <w:r>
                    <w:br w:type="textWrapping"/>
                  </w:r>
                  <w:r>
                    <w:rPr>
                      <w:color w:val="000000"/>
                      <w:sz w:val="22"/>
                    </w:rPr>
                    <w:t>可以授权角色所能查看的数据，实现数据隔离，比如维护医生和护士这两类人员信息是由不同的管理员来维护，就可以通过基础数据授权达到目的。</w:t>
                  </w:r>
                  <w:r>
                    <w:br w:type="textWrapping"/>
                  </w:r>
                  <w:r>
                    <w:rPr>
                      <w:color w:val="000000"/>
                      <w:sz w:val="22"/>
                    </w:rPr>
                    <w:t>3)功能元素授权</w:t>
                  </w:r>
                  <w:r>
                    <w:br w:type="textWrapping"/>
                  </w:r>
                  <w:r>
                    <w:rPr>
                      <w:color w:val="000000"/>
                      <w:sz w:val="22"/>
                    </w:rPr>
                    <w:t>保证数据操作的安全性，限制用户所能对数据进行哪些操作，或者新增修改哪些数据，最常用的是限制删除按钮功能。也可以在“基础数据平台配置-平台配置”下开启【默认禁用所有删除按钮】功能。</w:t>
                  </w:r>
                  <w:r>
                    <w:br w:type="textWrapping"/>
                  </w:r>
                  <w:r>
                    <w:rPr>
                      <w:color w:val="000000"/>
                      <w:sz w:val="22"/>
                    </w:rPr>
                    <w:t>4)医院级授权</w:t>
                  </w:r>
                  <w:r>
                    <w:br w:type="textWrapping"/>
                  </w:r>
                  <w:r>
                    <w:rPr>
                      <w:color w:val="000000"/>
                      <w:sz w:val="22"/>
                    </w:rPr>
                    <w:t>主要针对于区域性医疗项目，实现数据隔离，角色只能查看所在医院的数据，如用户、医嘱项、医护人员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w:t>
                  </w: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日志管理系统</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68"/>
                    <w:jc w:val="left"/>
                  </w:pPr>
                  <w:r>
                    <w:rPr>
                      <w:color w:val="000000"/>
                      <w:sz w:val="22"/>
                    </w:rPr>
                    <w:t>▲日志管理系统：要求基础数据维护下的页面可实现日志接口的调用，要求对数据的新增、修改、删除操作都存有日志，能够记录操作用户、IP地址、时间以及操作前后数据的变化等信息。要求可以查看数据的变更记录，以便错误操作数据时可以及时恢复数据和查找责任人。(</w:t>
                  </w:r>
                  <w:r>
                    <w:rPr>
                      <w:color w:val="000000"/>
                      <w:sz w:val="21"/>
                    </w:rPr>
                    <w:t>投标人提供功能截图证明或重点功能响应承诺函(格式自拟)并加盖投标人公章)</w:t>
                  </w:r>
                </w:p>
                <w:p>
                  <w:pPr>
                    <w:pStyle w:val="4"/>
                    <w:ind w:firstLine="440"/>
                    <w:jc w:val="left"/>
                  </w:pPr>
                  <w:r>
                    <w:rPr>
                      <w:color w:val="000000"/>
                      <w:sz w:val="22"/>
                    </w:rPr>
                    <w:t>基础数据维护下的页面都调用了日志接口，对数据的新增、修改、删除操作都存有日志，记录了操作用户、IP地址、时间以及操作前后数据的变化等信息。</w:t>
                  </w:r>
                  <w:r>
                    <w:br w:type="textWrapping"/>
                  </w:r>
                  <w:r>
                    <w:rPr>
                      <w:color w:val="000000"/>
                      <w:sz w:val="22"/>
                    </w:rPr>
                    <w:t>可以查看数据的变更记录，以便错误操作数据时可以及时恢复数据和查找责任人。</w:t>
                  </w:r>
                  <w:r>
                    <w:br w:type="textWrapping"/>
                  </w:r>
                  <w:r>
                    <w:rPr>
                      <w:color w:val="000000"/>
                      <w:sz w:val="22"/>
                    </w:rPr>
                    <w:t>1、基础数据日志管理</w:t>
                  </w:r>
                  <w:r>
                    <w:br w:type="textWrapping"/>
                  </w:r>
                  <w:r>
                    <w:rPr>
                      <w:color w:val="000000"/>
                      <w:sz w:val="22"/>
                    </w:rPr>
                    <w:t>这个页面可以查看所有数据的历史操作日志(包括添加、修改、删除三种类型),可以根据具体页面查看，也可以批量查看某些菜单下的日志。选中一条记录后，双击这条记录，可以查看每个字段的详细信息以及数据变动对比。在基础数据下的页面上可以开启日志按钮，查看本页面上数据的变动记录。</w:t>
                  </w:r>
                  <w:r>
                    <w:br w:type="textWrapping"/>
                  </w:r>
                  <w:r>
                    <w:rPr>
                      <w:color w:val="000000"/>
                      <w:sz w:val="22"/>
                    </w:rPr>
                    <w:t>2、数据全生命周期管理(DataLifecycleManagement)极致的数据安全保障方案，用户的每一个动作都将被留痕，可以查看任意数据的历次变动记录，以便错误操作数据时可以及时恢复数据。</w:t>
                  </w:r>
                  <w:r>
                    <w:br w:type="textWrapping"/>
                  </w:r>
                  <w:r>
                    <w:rPr>
                      <w:color w:val="000000"/>
                      <w:sz w:val="22"/>
                    </w:rPr>
                    <w:t>数据生命周期功能将一条记录从新增，修改到最后被删除整个过程用时间轴的方式展示出来，可以直观明了的看到这条数据的历史变动记录及明细。</w:t>
                  </w:r>
                  <w:r>
                    <w:br w:type="textWrapping"/>
                  </w:r>
                  <w:r>
                    <w:rPr>
                      <w:color w:val="000000"/>
                      <w:sz w:val="22"/>
                    </w:rPr>
                    <w:t>3、日志审计</w:t>
                  </w:r>
                  <w:r>
                    <w:br w:type="textWrapping"/>
                  </w:r>
                  <w:r>
                    <w:rPr>
                      <w:color w:val="000000"/>
                      <w:sz w:val="22"/>
                    </w:rPr>
                    <w:t>日志审计功能是由专门的人对历史日志进行审核，发现违规操作后可以将日志记录标记为异常，如果是数据的正常变动则标记为正常。该功能需要在“基础数据平台配置-平台配置”页面开始日志审核功能。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基础数据导入导出系统</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页面左侧为所有导入页面的菜单，右侧为导入操作页面，并支持多种文件类型(表格、文本)的导入，多种导入模式，导入模板更灵活，且能预校验数据，将不符合数据逻辑规则的错误信息提示出来。导入失败的数据可以重新导出再整理。还具有灵活的拓展功能包括维护界面有的字段拓展以及维护界面没有的字段拓展。</w:t>
                  </w:r>
                  <w:r>
                    <w:br w:type="textWrapping"/>
                  </w:r>
                  <w:r>
                    <w:rPr>
                      <w:color w:val="000000"/>
                      <w:sz w:val="22"/>
                    </w:rPr>
                    <w:t>1、多种文件格式导入</w:t>
                  </w:r>
                  <w:r>
                    <w:br w:type="textWrapping"/>
                  </w:r>
                  <w:r>
                    <w:rPr>
                      <w:color w:val="000000"/>
                      <w:sz w:val="22"/>
                    </w:rPr>
                    <w:t>支持Excel和Txt两种导入模板，(1)Excel可以在页面上直接下载导入模板，按照模板准备数据，而且模板里每列的顺序可以自己修改，更加灵活。</w:t>
                  </w:r>
                  <w:r>
                    <w:br w:type="textWrapping"/>
                  </w:r>
                  <w:r>
                    <w:rPr>
                      <w:color w:val="000000"/>
                      <w:sz w:val="22"/>
                    </w:rPr>
                    <w:t>2、导入模式</w:t>
                  </w:r>
                  <w:r>
                    <w:br w:type="textWrapping"/>
                  </w:r>
                  <w:r>
                    <w:rPr>
                      <w:color w:val="000000"/>
                      <w:sz w:val="22"/>
                    </w:rPr>
                    <w:t>导入模式有三种：只追加数据、修正数据和新装数据：</w:t>
                  </w:r>
                  <w:r>
                    <w:br w:type="textWrapping"/>
                  </w:r>
                  <w:r>
                    <w:rPr>
                      <w:color w:val="000000"/>
                      <w:sz w:val="22"/>
                    </w:rPr>
                    <w:t>1)只追加数据：会与数据库中已有的数据进行比对，相同的跳过导入，数据库不存在的则新增；</w:t>
                  </w:r>
                  <w:r>
                    <w:br w:type="textWrapping"/>
                  </w:r>
                  <w:r>
                    <w:rPr>
                      <w:color w:val="000000"/>
                      <w:sz w:val="22"/>
                    </w:rPr>
                    <w:t>2)修正数据：会与数据库中已有的数据进行比对，数据不同的则修改原数据，数据相同的不修改，数据库中不存在的则新增；</w:t>
                  </w:r>
                  <w:r>
                    <w:br w:type="textWrapping"/>
                  </w:r>
                  <w:r>
                    <w:rPr>
                      <w:color w:val="000000"/>
                      <w:sz w:val="22"/>
                    </w:rPr>
                    <w:t>3)新装数据：会把数据中这个页面的数据全部清除掉，在增加新数据，这个导入模式适用于项目初期第一次导入数据时使用，选择需要慎重。</w:t>
                  </w:r>
                  <w:r>
                    <w:br w:type="textWrapping"/>
                  </w:r>
                  <w:r>
                    <w:rPr>
                      <w:color w:val="000000"/>
                      <w:sz w:val="22"/>
                    </w:rPr>
                    <w:t>3、预校验功能</w:t>
                  </w:r>
                  <w:r>
                    <w:br w:type="textWrapping"/>
                  </w:r>
                  <w:r>
                    <w:rPr>
                      <w:color w:val="000000"/>
                      <w:sz w:val="22"/>
                    </w:rPr>
                    <w:t>在数据预览以后，点击预校验按钮，可以校验数据的有效性(比如时间、数字、日期等)、重复性(代码和描述是否已存在)、对应的指针数据是否存在等问题，并提示在列表里。</w:t>
                  </w:r>
                  <w:r>
                    <w:br w:type="textWrapping"/>
                  </w:r>
                  <w:r>
                    <w:rPr>
                      <w:color w:val="000000"/>
                      <w:sz w:val="22"/>
                    </w:rPr>
                    <w:t>4、导出错误信息</w:t>
                  </w:r>
                  <w:r>
                    <w:br w:type="textWrapping"/>
                  </w:r>
                  <w:r>
                    <w:rPr>
                      <w:color w:val="000000"/>
                      <w:sz w:val="22"/>
                    </w:rPr>
                    <w:t>在数据导入或者预校验以后，如果有导入失败或者校验失败的数据会提示在列表里，我们可以点击导出到Excel按钮，讲这些错误数据及具体错误信息导出到表格里，重新加以整理，这个表格可以直接在页面上再导入，也方便实施人员操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临床知识库管理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临床知识库能够给临床工作者、患者或个体提供知识或统计信息，并可以自动选择适当的时机，智能地过滤或表示这些信息，以促进临床决策，减少人为的医疗错误，更好的提高医疗质量和患者安全。</w:t>
                  </w:r>
                  <w:r>
                    <w:br w:type="textWrapping"/>
                  </w:r>
                  <w:r>
                    <w:rPr>
                      <w:color w:val="000000"/>
                      <w:sz w:val="22"/>
                    </w:rPr>
                    <w:t>主要功能有以下几点：</w:t>
                  </w:r>
                  <w:r>
                    <w:br w:type="textWrapping"/>
                  </w:r>
                  <w:r>
                    <w:rPr>
                      <w:color w:val="000000"/>
                      <w:sz w:val="22"/>
                    </w:rPr>
                    <w:t>1)数据维护</w:t>
                  </w:r>
                  <w:r>
                    <w:br w:type="textWrapping"/>
                  </w:r>
                  <w:r>
                    <w:rPr>
                      <w:color w:val="000000"/>
                      <w:sz w:val="22"/>
                    </w:rPr>
                    <w:t>实现知识库标识定义，目录定义，基础字典与对照，知识录入等功能。</w:t>
                  </w:r>
                  <w:r>
                    <w:br w:type="textWrapping"/>
                  </w:r>
                  <w:r>
                    <w:rPr>
                      <w:color w:val="000000"/>
                      <w:sz w:val="22"/>
                    </w:rPr>
                    <w:t>智能审查：</w:t>
                  </w:r>
                  <w:r>
                    <w:br w:type="textWrapping"/>
                  </w:r>
                  <w:r>
                    <w:rPr>
                      <w:color w:val="000000"/>
                      <w:sz w:val="22"/>
                    </w:rPr>
                    <w:t>实现临床医师在开医嘱时，根据病人与医嘱的相关信息智能审查与提示等功能。</w:t>
                  </w:r>
                  <w:r>
                    <w:br w:type="textWrapping"/>
                  </w:r>
                  <w:r>
                    <w:rPr>
                      <w:color w:val="000000"/>
                      <w:sz w:val="22"/>
                    </w:rPr>
                    <w:t>辅助信息实时提醒：</w:t>
                  </w:r>
                  <w:r>
                    <w:br w:type="textWrapping"/>
                  </w:r>
                  <w:r>
                    <w:rPr>
                      <w:color w:val="000000"/>
                      <w:sz w:val="22"/>
                    </w:rPr>
                    <w:t>医生开医嘱、护士执行医嘱时，有适应证、禁忌症、注意事项、不良反应、临床意义等辅助信息实时提醒。</w:t>
                  </w:r>
                  <w:r>
                    <w:br w:type="textWrapping"/>
                  </w:r>
                  <w:r>
                    <w:rPr>
                      <w:color w:val="000000"/>
                      <w:sz w:val="22"/>
                    </w:rPr>
                    <w:t>知识浏览：</w:t>
                  </w:r>
                  <w:r>
                    <w:br w:type="textWrapping"/>
                  </w:r>
                  <w:r>
                    <w:rPr>
                      <w:color w:val="000000"/>
                      <w:sz w:val="22"/>
                    </w:rPr>
                    <w:t>为用户提供在HIS中随时在线调阅浏览知识库内容，界面按知识库目录直观展现知识数据，最大效率的方便用户查询查看到相关数据。</w:t>
                  </w:r>
                  <w:r>
                    <w:br w:type="textWrapping"/>
                  </w:r>
                  <w:r>
                    <w:rPr>
                      <w:color w:val="000000"/>
                      <w:sz w:val="22"/>
                    </w:rPr>
                    <w:t>监测日志：</w:t>
                  </w:r>
                  <w:r>
                    <w:br w:type="textWrapping"/>
                  </w:r>
                  <w:r>
                    <w:rPr>
                      <w:color w:val="000000"/>
                      <w:sz w:val="22"/>
                    </w:rPr>
                    <w:t>为用户提供数据触发提醒日志工具与查询分析功能。临床知识库主要分为知识库编辑器、字典表、知识库策略、知识库监控4大模块。</w:t>
                  </w:r>
                  <w:r>
                    <w:br w:type="textWrapping"/>
                  </w:r>
                  <w:r>
                    <w:rPr>
                      <w:color w:val="000000"/>
                      <w:sz w:val="22"/>
                    </w:rPr>
                    <w:t>1、知识库编辑器：</w:t>
                  </w:r>
                  <w:r>
                    <w:br w:type="textWrapping"/>
                  </w:r>
                  <w:r>
                    <w:rPr>
                      <w:color w:val="000000"/>
                      <w:sz w:val="22"/>
                    </w:rPr>
                    <w:t>目前知识库编辑器包含药品、检验项目、放射项目、超声项目、内镜项目、心电项目、手术项目、治疗项目、材料九类。</w:t>
                  </w:r>
                  <w:r>
                    <w:br w:type="textWrapping"/>
                  </w:r>
                  <w:r>
                    <w:rPr>
                      <w:color w:val="000000"/>
                      <w:sz w:val="22"/>
                    </w:rPr>
                    <w:t>以药品说明书编辑器为例，在这个页面可以直观的查询某个剂型的药品通用名的用药频率、给药途径、适应证、用法用量、禁忌症等信息。在医嘱录入界面，选中录入的药品医嘱，如果这条医嘱有维护药品知识库，点击医嘱录入页面的“说明书”按钮，就能显示出这些信息；当鼠标放在医嘱名称上时，也能提示出适应证、禁忌症、注意事项、不良反应这些重要信息，方便医生参考注意。</w:t>
                  </w:r>
                  <w:r>
                    <w:br w:type="textWrapping"/>
                  </w:r>
                  <w:r>
                    <w:rPr>
                      <w:color w:val="000000"/>
                      <w:sz w:val="22"/>
                    </w:rPr>
                    <w:t>2、字典表：</w:t>
                  </w:r>
                  <w:r>
                    <w:br w:type="textWrapping"/>
                  </w:r>
                  <w:r>
                    <w:rPr>
                      <w:color w:val="000000"/>
                      <w:sz w:val="22"/>
                    </w:rPr>
                    <w:t>字典表用来维护临床知识库的基础信息及与HIS系统数据的对照，只有对照后，才能正常使用临床知识库的智能化提醒功能。</w:t>
                  </w:r>
                  <w:r>
                    <w:br w:type="textWrapping"/>
                  </w:r>
                  <w:r>
                    <w:rPr>
                      <w:color w:val="000000"/>
                      <w:sz w:val="22"/>
                    </w:rPr>
                    <w:t>3、知识库策略：</w:t>
                  </w:r>
                  <w:r>
                    <w:br w:type="textWrapping"/>
                  </w:r>
                  <w:r>
                    <w:rPr>
                      <w:color w:val="000000"/>
                      <w:sz w:val="22"/>
                    </w:rPr>
                    <w:t>用于授权和配置知识库提醒规则。</w:t>
                  </w:r>
                  <w:r>
                    <w:br w:type="textWrapping"/>
                  </w:r>
                  <w:r>
                    <w:rPr>
                      <w:color w:val="000000"/>
                      <w:sz w:val="22"/>
                    </w:rPr>
                    <w:t>4、知识库监控：</w:t>
                  </w:r>
                  <w:r>
                    <w:br w:type="textWrapping"/>
                  </w:r>
                  <w:r>
                    <w:rPr>
                      <w:color w:val="000000"/>
                      <w:sz w:val="22"/>
                    </w:rPr>
                    <w:t>在医生或护士页面提醒时，会在知识库监控里保存日志，方便后期对医生护士操作进行查看。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主要应用场景</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1)在医嘱录入界面，录入维护了药品知识库的药品后，会显示药品说明书中的适应证、禁忌证、不良反应、注意事项等信息。</w:t>
                  </w:r>
                  <w:r>
                    <w:br w:type="textWrapping"/>
                  </w:r>
                  <w:r>
                    <w:rPr>
                      <w:color w:val="000000"/>
                      <w:sz w:val="22"/>
                    </w:rPr>
                    <w:t>2)如果病人的诊断满足某个药品的适应证，会显示根据适应证获取的建议医嘱。</w:t>
                  </w:r>
                  <w:r>
                    <w:br w:type="textWrapping"/>
                  </w:r>
                  <w:r>
                    <w:rPr>
                      <w:color w:val="000000"/>
                      <w:sz w:val="22"/>
                    </w:rPr>
                    <w:t>3)如果医嘱不满足合理性检查，在医嘱录入中开医嘱的时候会弹出提示信息。</w:t>
                  </w:r>
                  <w:r>
                    <w:br w:type="textWrapping"/>
                  </w:r>
                  <w:r>
                    <w:rPr>
                      <w:color w:val="000000"/>
                      <w:sz w:val="22"/>
                    </w:rPr>
                    <w:t>4)如果医嘱不满足合理性检查，在护士执行中执行时会弹出提示信息。</w:t>
                  </w:r>
                  <w:r>
                    <w:br w:type="textWrapping"/>
                  </w:r>
                  <w:r>
                    <w:rPr>
                      <w:color w:val="000000"/>
                      <w:sz w:val="22"/>
                    </w:rPr>
                    <w:t>基础数据数据管理平台配置等多个基础数据维护模块，可方便地对系统的各个参数、安全性、功能流程等进行统一维护、定义，提高了系统的易用性、安全性。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8</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基础平台</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用户管理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通过授权方式对用户所能使用的系统功能进行限制，达到系统安全控制的目的；支持对用户的数字证书进行管理、对用户的指纹信息进行管理。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代码表</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定义和维护HIS系统业务数据基础代码及系统参数。</w:t>
                  </w:r>
                  <w:r>
                    <w:br w:type="textWrapping"/>
                  </w:r>
                  <w:r>
                    <w:rPr>
                      <w:color w:val="000000"/>
                      <w:sz w:val="22"/>
                    </w:rPr>
                    <w:t>工作流管理器：允许用户按照自己的工作情况、性质以及触发条件建立自己的工作序列，从而完成一次临床服务。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界面编辑器</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按用户、用户组、医院灵活定义界面内容和风格，每个用户还可以定义自己的开始页面。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列编辑器</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对于列表格式的组件，列编辑器可以定义列表要显示对象的字段，排列顺序、数据排序方式等属性。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组件/菜单管理器</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实现将一个工作流、组件、工作列表等定义为一个菜单项。多个菜单项定义为一个菜单容器(MenuHeader)。可以将菜单容器赋予某一角色，组成一个专业科室工作站。</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规则管理器</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通过规则管理，用户可以定义一定的条件和一定的结果(规则),系统在接收事件触发后根据预先定义好的规则产生相应的处理动作。</w:t>
                  </w:r>
                  <w:r>
                    <w:br w:type="textWrapping"/>
                  </w:r>
                  <w:r>
                    <w:rPr>
                      <w:color w:val="000000"/>
                      <w:sz w:val="22"/>
                    </w:rPr>
                    <w:t>HL7引擎包括HL7消息的解释转换功能、发送接收功能以及消息的存储管理功能。其中HL7消息的解释转换模块为技术核心。HL7消息的解释转换包括正确理解，并正确转换为本地可以理解并处理的信息。并且这个功能还必须是通用的，可以根据本地情况灵活配置的。</w:t>
                  </w:r>
                  <w:r>
                    <w:br w:type="textWrapping"/>
                  </w:r>
                  <w:r>
                    <w:rPr>
                      <w:color w:val="000000"/>
                      <w:sz w:val="22"/>
                    </w:rPr>
                    <w:t>基础平台提供了非常丰富的安全管理机制与灵活的配置，用户可以根据其自带的上千个组件随时灵活配置成新的流程处理，还可以通过自定义组件生成配置新的流程和业务处理功能，能够非常好地适应环境和业务功能的变化，同时也允许用户改变或完善正在使用的流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14</w:t>
                  </w:r>
                </w:p>
              </w:tc>
              <w:tc>
                <w:tcPr>
                  <w:tcW w:w="46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门(急)诊管理</w:t>
                  </w: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一卡通(码)管理系统</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建卡</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窗口建卡模块可以通过读取患者医保卡、身份证等有效证件信息快速准确的完成患者基本信息的采集、发卡操作。采集的基本信息包含：患者姓名、性别、年龄、出生日期、联系电话、家庭住址、身份证、患者类型、患者照片信息等。如在发卡时需要收取相关费用或缴纳院内预交金，建卡会同步提供多种支付渠道的对接，支持主要的支付方式有现金，微信，支付宝，银行卡等。为了方便患者进行信息采集登记，减少窗口压力，系统支持除窗口建卡以外的自助机，app,微信等多渠道接口，能协助患者在线自助完成开卡建档等工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基本信息采集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通过居民健康卡、身份证、军官证、驾驶证、护照等身份证件识别和人工录入患者个人信息，包括姓名、性别、民族、籍贯、出生地、出生日期、婚姻、户籍地址、现住址、工作单位、职业、联系电话(本人)、联系电话(家属)等方式进行基本信息采集。</w:t>
                  </w:r>
                  <w:r>
                    <w:br w:type="textWrapping"/>
                  </w:r>
                  <w:r>
                    <w:rPr>
                      <w:color w:val="000000"/>
                      <w:sz w:val="22"/>
                    </w:rPr>
                    <w:t>通过新农合号、社保卡号、商业保险号等保险类别识别患者的医保信息。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数据质量控制</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通过校验和跟踪对数据质量问题进行管理，从数据格式、数据值域、数据间的逻辑关系等角度做质量审核，如可按照空值校验、重复校验、格式校验、一致性校验和逻辑校验等审核规则对患者基本信息数据进行质量控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17</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患者主索引注册</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根据录入的患者基本信息，注册生成患者在院的唯一主索引，作为患者在本院就诊的唯一标识，可与院内各系统之间的进行关联，也可关联患者历次就诊的诊疗信息。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患者信息修改</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信息修改模块可以实现，在患者基本信息发生变化时，同步变更院内电子档案信息。例如：修改患者预留电话，家庭住址等信息。该系统模块可以支持自助机，app,微信等多渠道接口，能协助患者在线完成指定部分基础信息的变更操作。针对系统中患者基本信息发生的变更做详细的日志记录自动记录相应的操作内容、操作人员和操作日期，用于对操作的追溯和审计实现患者基本信息的变更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w:t>
                  </w: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卡信息合并</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68"/>
                    <w:jc w:val="left"/>
                  </w:pPr>
                  <w:r>
                    <w:rPr>
                      <w:color w:val="000000"/>
                      <w:sz w:val="22"/>
                    </w:rPr>
                    <w:t>▲卡信息合并：患者电子档案信息因特殊原因导致同一患者在院内有多个档案记录时，要求系统支持将患者基本信息做信息合并处理，保留患者需要的档案信息，做到患者在医院内存在唯一档案信息，更加方便对档案信息的灵活管理，并且要求提供卡信息合并操作的操作日志信息。(</w:t>
                  </w:r>
                  <w:r>
                    <w:rPr>
                      <w:b/>
                      <w:color w:val="000000"/>
                      <w:sz w:val="21"/>
                    </w:rPr>
                    <w:t>投标人提供功能截图证明或重点功能响应承诺函(格式自拟)并加盖投标人公章)</w:t>
                  </w:r>
                </w:p>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患者信息查询</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对患者基本信息进行多条件组合查询，以及对患者基本信息进行多维度统计，提供对查询和统计结果的导出功能。该系统模块可以支持自助机，app,微信等多渠道接口，能协助患者在线完成自己院内卡信息的查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卡管理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卡操作模块实现了患者名下卡信息的管理功能，该功能具体包括：卡挂失，启用，换卡，退卡操作。该系统模块可以支持自助机，app,微信等多渠道接口，能协助患者在线完成挂失，解除挂失等操作。该模块实现了系统中卡状态变更申请信息的查询，便于医院对系统中卡状态变更详情做统计管理。对于系统中卡状态的建卡、换卡、补卡操作记录进行的统计查询功能。</w:t>
                  </w:r>
                  <w:r>
                    <w:br w:type="textWrapping"/>
                  </w:r>
                  <w:r>
                    <w:rPr>
                      <w:color w:val="000000"/>
                      <w:sz w:val="22"/>
                    </w:rPr>
                    <w:t>实现了对患者基本信息的高效、快速的采集和管理，更大程度上保证了患者基本信息的准确性和有效性。同时多渠道端口的开放节省了患者的就医时间增加了患者的就医体验。通过系统的推进，使医院的诊疗前置工作变的更为高效，也方便医院相关信息系统共享患者基本信息，强化患者基本信息规范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22</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门诊预约挂号系统</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门诊挂号/取号</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操作员通过医保卡或就诊卡等检索患者基本信息，根据患者病情或患者要求为患者选择对应的就诊科室和就诊资源，进行挂号收费操作或选择已经有的预约/加号信息进行取号缴费操作。缴费时可支持但不限于使用现金、院内账户、银行卡等多种支付方式进行支付操作，同时也根据当地医保规定可进行医保直连上传就诊信息和进行报销操作。挂号结束后根据需要可以为患者进行挂号凭证和收费凭证的打印，患者可凭此进行有效就医。该系统模块可以支持自助机，app,微信等多渠道接口实现线上直接挂号/取号、支付的流程，挂号成功后向患者推送相应的就诊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诊间预约/加号</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诊间医生或护士可以通过该功能模块为有需要的患者进行当日就诊加号操作，或下次的复诊进行预约操作，通过日历预约界面选中对应的就诊资源进行加号/预约后打印对应的凭证。如果有需要也可在该界面对于符合系统要求的加号/预约记录进行取消操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窗口预约</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操作员根据患者病情或患者要求选择对应的就诊科室和就诊日期可用出诊资源为患者进行就诊预约并打印预约凭证，如果在该过程中患者未进行患者信息登记，那么可以进行无卡预约，无卡预约需要填写就诊患者的身份信息和对应的联系方式。该系统模块可以支持自助机，app,微信等多渠道接口实现线上直接进行预约，患者在查询绑定的有效患者信息后，可在自助端根据自身需要选择需就诊的科室和医生在对应就诊日期的有效出诊资源进行预约，也可根据系统推送的分时段就诊信息，按自身需要选择需要就诊的时段进行预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退号</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患者在挂号支付后，由于特殊原因不能就诊，在符合医院退号政策的前提下为患者进行退号退费的操作。在退号的过程中可以选择对应的退号操作原因，可以进行后期质控数据查询。该系统模块可以支持自助机，app,微信等多渠道接口，实现在满足医院退号政策控制的前提下，进行自助退号退费操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预约管理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预约管理界实现的功能是给操作员进行预约数据的查询操作，可以通过多条件索引进行执行预约信息的查询，对查询出来的有效的预约数据，在满足医院政策的前提下进行取消预约的操作。该系统模块可以支持自助机，app,微信等多渠道接口，实现在满足医院取消预约政策控制的前提下，进行自助查询预约记录并取消预约操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27</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预约信息一览表</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操作员可在预约信息一览表中通过多条件联查询，实现对系统的预约数据进行按就诊科室汇总查询或对全部明细进行汇总查询，该功能模块为医院对预约就诊资源数据的投放提供了必要的数据支撑。通过该数据能更加合理、有效、准确的调整预约就诊资源的分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挂号查询</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通过多条件联合查询，可以查询对应的就诊登记时所产生的详细挂号信息记录。包括但不限于以下信息：就诊人姓名，就诊人登记号，就诊科室，就诊号别，收费金额，支付详情，发票号，挂号人，挂号日期，挂号时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医生坐诊信息调整</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通过该功能可以对已经生成的出诊医生资源进行调整，包括正号限额，加号限额，分时段信息，各预约途径可预约数量等。也可以对已生成的资源进行停诊操作或对为生成的资源进行临时加诊操作，医生坐诊信息的调整，是合理分配医生出诊资源的有效保证和必要途径。同时对于已经生成的出诊信息调整会提供完整的调整信息日志功能，用于对操作的追溯和审计实现出诊信息的变更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排班模板维护</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对需要出诊科室资源进行出诊班次和出诊资源模板维护。模板数据包括：科室，医生，星期，时段，级别，正号限额，加号限额，预约限额，分时段信息等。模板信息可以用来批量生成出诊记录。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生成排班记录</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通过维护的排班模板生成一段时间的出诊资源。可以根据需要选择部分科室和部分号别来进行生成也可已选择全部进行生成。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出诊查询</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可以通过多条件联合查询对应科室的出诊排班报表，并提供导出功能。可以直观的展示对应的出诊信息。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停替诊查询</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通过多条件联合查询可以查询对应的日期范围内的停替诊出诊记录，对资源的变更可以进行审计操作，更直观的进行管理查询。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号源信息汇总</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对出诊信息的使用情况进行汇总查询，通过查询可以随时进行号源资源投放的优化调整。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黑名单维护</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根据医院实际情况，制定相关信用规则，针对诊疗活动中，恶意占用医院诊疗资源的行为进行系统甄别，形成黑名单，对违反预约挂号规则或频繁爽约的患者给予必要限制；对恶意占用号源的患者进行信用跟踪，同时对信用不良的患者采取停用或限制预约次数和范围等增加管理措施。</w:t>
                  </w:r>
                  <w:r>
                    <w:br w:type="textWrapping"/>
                  </w:r>
                  <w:r>
                    <w:rPr>
                      <w:color w:val="000000"/>
                      <w:sz w:val="22"/>
                    </w:rPr>
                    <w:t>通过门诊预约挂号系统让挂号收费员能高效完成挂号收费业务，医院门诊具有就诊患者数量多，沟通时间短，短时间内业务量大等特点。确保挂号收费员能够准确快速的完成挂号收费业务，就能保证高效完成门诊诊疗工作，同时也可降低患者的等待时间，提高就诊满意度。预约系统能极大满足患者预约、复诊的就医需求，通过分时段就诊和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36</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急诊预检分诊系统</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患者列表</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根据“取病人列表方式”参数配置，提供患者的列表展示查询功能。</w:t>
                  </w:r>
                  <w:r>
                    <w:br w:type="textWrapping"/>
                  </w:r>
                  <w:r>
                    <w:rPr>
                      <w:color w:val="000000"/>
                      <w:sz w:val="22"/>
                    </w:rPr>
                    <w:t>红橙黄绿各区域患者数/总患者数概览：红底区域表示红区，即病情为I级比例；橙底区域表示橙区，即病情为Ⅱ级比例；黄底区域表示黄区，即病情为Ⅲ级比例；绿底区域表示绿区，即病情为IVa、IVb级比例。可按分区查询。</w:t>
                  </w:r>
                  <w:r>
                    <w:br w:type="textWrapping"/>
                  </w:r>
                  <w:r>
                    <w:rPr>
                      <w:color w:val="000000"/>
                      <w:sz w:val="22"/>
                    </w:rPr>
                    <w:t>默认显示24小时内的分诊患者记录；可加载显示详细分诊信息；可按登记号查询患者；可按开始日期、结束日期查询一定时间段的患者列表。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37</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基本信息</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患者基础信息：主要包含卡号(读卡)、卡类型、来诊时间、登记号、姓名、性别、证件号(身份证可读卡)、证件类型、出生日期、电话、年龄、国籍/地区、医保卡号、病人类型、民族、家庭住址信息。</w:t>
                  </w:r>
                  <w:r>
                    <w:br w:type="textWrapping"/>
                  </w:r>
                  <w:r>
                    <w:rPr>
                      <w:color w:val="000000"/>
                      <w:sz w:val="22"/>
                    </w:rPr>
                    <w:t>成批就诊：针对成批的患者就诊按总人数一次分诊，以尽快得到治疗。</w:t>
                  </w:r>
                  <w:r>
                    <w:br w:type="textWrapping"/>
                  </w:r>
                  <w:r>
                    <w:rPr>
                      <w:color w:val="000000"/>
                      <w:sz w:val="22"/>
                    </w:rPr>
                    <w:t>重返标识：是否24小时的再次返回记录。</w:t>
                  </w:r>
                  <w:r>
                    <w:br w:type="textWrapping"/>
                  </w:r>
                  <w:r>
                    <w:rPr>
                      <w:color w:val="000000"/>
                      <w:sz w:val="22"/>
                    </w:rPr>
                    <w:t>既往史：既往史主要有：糖尿病、高血压、心脏病、COPD、心绞痛；按配置显示。</w:t>
                  </w:r>
                  <w:r>
                    <w:br w:type="textWrapping"/>
                  </w:r>
                  <w:r>
                    <w:rPr>
                      <w:color w:val="000000"/>
                      <w:sz w:val="22"/>
                    </w:rPr>
                    <w:t>患者来源：患者来源主要有：120、110、救助站、外院、自行来院、护送来院；按配置显示。</w:t>
                  </w:r>
                  <w:r>
                    <w:br w:type="textWrapping"/>
                  </w:r>
                  <w:r>
                    <w:rPr>
                      <w:color w:val="000000"/>
                      <w:sz w:val="22"/>
                    </w:rPr>
                    <w:t>特殊人群：特殊人群主要有：老人、小孩、孕妇、三无人员、残疾人、军人、监狱、聋哑人；按配置显示。</w:t>
                  </w:r>
                  <w:r>
                    <w:br w:type="textWrapping"/>
                  </w:r>
                  <w:r>
                    <w:rPr>
                      <w:color w:val="000000"/>
                      <w:sz w:val="22"/>
                    </w:rPr>
                    <w:t>来诊方式：来诊方式一般为：平车、轮椅、步行、扶入、背入、抱入等；按配置显示。</w:t>
                  </w:r>
                  <w:r>
                    <w:br w:type="textWrapping"/>
                  </w:r>
                  <w:r>
                    <w:rPr>
                      <w:color w:val="000000"/>
                      <w:sz w:val="22"/>
                    </w:rPr>
                    <w:t>六大病种：六大病种包括：急性心力衰竭、急性脑卒死、急性呼吸衰竭、急性创伤、急性颅脑外伤。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其他信息</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患者的中毒、是否吸氧、筛查、复合伤、已开假条、ECG、辅助物内容记录。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当前信息</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生命体征：作为判断病人的病情轻重和危急程度的指征，界面提供记录生命体征功能。</w:t>
                  </w:r>
                  <w:r>
                    <w:br w:type="textWrapping"/>
                  </w:r>
                  <w:r>
                    <w:rPr>
                      <w:color w:val="000000"/>
                      <w:sz w:val="22"/>
                    </w:rPr>
                    <w:t>生命体征包含收缩压、舒张压、SpO2、呼吸、体温、心率、脉搏、血糖项目。可通过连接仪器读取生命体征实现自动带入数据，一键录入生命体征信息。</w:t>
                  </w:r>
                  <w:r>
                    <w:br w:type="textWrapping"/>
                  </w:r>
                  <w:r>
                    <w:rPr>
                      <w:color w:val="000000"/>
                      <w:sz w:val="22"/>
                    </w:rPr>
                    <w:t>备注：患者分诊的其他情况说明记录。</w:t>
                  </w:r>
                  <w:r>
                    <w:br w:type="textWrapping"/>
                  </w:r>
                  <w:r>
                    <w:rPr>
                      <w:color w:val="000000"/>
                      <w:sz w:val="22"/>
                    </w:rPr>
                    <w:t>意识形态：患者的意识：昏睡、嗜睡、无意识、清醒、抽搐、对声音有反应等；按配置显示。</w:t>
                  </w:r>
                  <w:r>
                    <w:br w:type="textWrapping"/>
                  </w:r>
                  <w:r>
                    <w:rPr>
                      <w:color w:val="000000"/>
                      <w:sz w:val="22"/>
                    </w:rPr>
                    <w:t>患者评分：ESI评级、疼痛评级、创伤评级、REMS评级、MEWS评级、疼痛评分，评级自动评分并推荐分级；生命体征内容可自动带入并自动评分。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来诊主诉</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症状分类快捷定位来诊主诉，来诊主诉参与自动评分并推荐分级。</w:t>
                  </w:r>
                  <w:r>
                    <w:br w:type="textWrapping"/>
                  </w:r>
                  <w:r>
                    <w:rPr>
                      <w:color w:val="000000"/>
                      <w:sz w:val="22"/>
                    </w:rPr>
                    <w:t>提供灵活的症状主诉维护界面，按照用户实际需求动态维护数据，目录明了直观，简单易操作。界面提供其他输入框也可以手动录入主诉。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分诊分级</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自动推荐分级：病情分级推荐支持意识形态、ESI评级、疼痛评级、创伤评级、REMS评级、MEWS评级、来诊主诉、既往史COPD,取自动评分的最高分级自动推荐分级，护士最终确认分级，系统分别保存。</w:t>
                  </w:r>
                  <w:r>
                    <w:br w:type="textWrapping"/>
                  </w:r>
                  <w:r>
                    <w:rPr>
                      <w:color w:val="000000"/>
                      <w:sz w:val="22"/>
                    </w:rPr>
                    <w:t>意识形态：通过分级指标主题库维护、分级指标函数(分类)库、分级指标关键字维护配置和意识形态来评级。</w:t>
                  </w:r>
                  <w:r>
                    <w:br w:type="textWrapping"/>
                  </w:r>
                  <w:r>
                    <w:rPr>
                      <w:color w:val="000000"/>
                      <w:sz w:val="22"/>
                    </w:rPr>
                    <w:t>3ESI评级：通过患者是否濒危、是否不能等、急症是否、生命体征有无异常、需要多少急诊资源来评级。</w:t>
                  </w:r>
                  <w:r>
                    <w:br w:type="textWrapping"/>
                  </w:r>
                  <w:r>
                    <w:rPr>
                      <w:color w:val="000000"/>
                      <w:sz w:val="22"/>
                    </w:rPr>
                    <w:t>疼痛评级：通过疼痛范围、疼痛指数(数字评分法(VAS)、面部表情法(FACE))来评级。</w:t>
                  </w:r>
                  <w:r>
                    <w:br w:type="textWrapping"/>
                  </w:r>
                  <w:r>
                    <w:rPr>
                      <w:color w:val="000000"/>
                      <w:sz w:val="22"/>
                    </w:rPr>
                    <w:t>创伤评级：通过昏迷评分、呼吸频率、呼吸困难有无、收缩血压、毛细血管充盈来计算总分评级。</w:t>
                  </w:r>
                  <w:r>
                    <w:br w:type="textWrapping"/>
                  </w:r>
                  <w:r>
                    <w:rPr>
                      <w:color w:val="000000"/>
                      <w:sz w:val="22"/>
                    </w:rPr>
                    <w:t xml:space="preserve"> REMS评级：通过GCS(格拉斯哥昏迷)、生命体征(脉搏、SpO2、收缩压、呼吸频率、年龄)来计算总分评级。</w:t>
                  </w:r>
                  <w:r>
                    <w:br w:type="textWrapping"/>
                  </w:r>
                  <w:r>
                    <w:rPr>
                      <w:color w:val="000000"/>
                      <w:sz w:val="22"/>
                    </w:rPr>
                    <w:t>MEWS评级：通过心率、收缩压、呼吸频率、体温、意识来计算总分评级。</w:t>
                  </w:r>
                  <w:r>
                    <w:br w:type="textWrapping"/>
                  </w:r>
                  <w:r>
                    <w:rPr>
                      <w:color w:val="000000"/>
                      <w:sz w:val="22"/>
                    </w:rPr>
                    <w:t>来诊主诉：通过分级指标主题库维护、分级指标函数(分类)库配置和来诊主诉来评级。</w:t>
                  </w:r>
                  <w:r>
                    <w:br w:type="textWrapping"/>
                  </w:r>
                  <w:r>
                    <w:rPr>
                      <w:color w:val="000000"/>
                      <w:sz w:val="22"/>
                    </w:rPr>
                    <w:t>既往史COPD：通过分级指标主题库维护、分级指标函数(分类)库配置和COPD有无并结合生命体征Sp02来评级。</w:t>
                  </w:r>
                  <w:r>
                    <w:br w:type="textWrapping"/>
                  </w:r>
                  <w:r>
                    <w:rPr>
                      <w:color w:val="000000"/>
                      <w:sz w:val="22"/>
                    </w:rPr>
                    <w:t>护士分级：分诊护士根据系统推荐分级以及患者的实际情况，最终评判病情(I级红色，Ⅱ级橙色，Ⅲ级黄色，IVa、IVb级绿色),置去向(对应分级：I级红区，Ⅱ级橙区，Ⅲ级黄区，Va、IVb级绿区),选择分诊科室和号别。</w:t>
                  </w:r>
                  <w:r>
                    <w:br w:type="textWrapping"/>
                  </w:r>
                  <w:r>
                    <w:rPr>
                      <w:color w:val="000000"/>
                      <w:sz w:val="22"/>
                    </w:rPr>
                    <w:t>护士分级最终会影响医生诊疗界面就诊顺序，即患者严重者优先就诊。</w:t>
                  </w:r>
                  <w:r>
                    <w:br w:type="textWrapping"/>
                  </w:r>
                  <w:r>
                    <w:rPr>
                      <w:color w:val="000000"/>
                      <w:sz w:val="22"/>
                    </w:rPr>
                    <w:t>转诊科室：对于病情并不需要挂号急诊科的患者，告知其只需挂门诊号即可，这里选择患者需转向的门诊科室，记录患者去向。</w:t>
                  </w:r>
                  <w:r>
                    <w:br w:type="textWrapping"/>
                  </w:r>
                  <w:r>
                    <w:rPr>
                      <w:color w:val="000000"/>
                      <w:sz w:val="22"/>
                    </w:rPr>
                    <w:t>抢救病区：对于病情较为严重、情况紧急的患者可直接分诊到留观室或者抢救室，患者状态置为抢救，并到留观或抢救室等候区，便于医生快速对病人进行抢救。</w:t>
                  </w:r>
                  <w:r>
                    <w:br w:type="textWrapping"/>
                  </w:r>
                  <w:r>
                    <w:rPr>
                      <w:color w:val="000000"/>
                      <w:sz w:val="22"/>
                    </w:rPr>
                    <w:t>绿色通道：实现患者本次分诊绿色通道的开启与否及有效小时数记录，绿色通道患者优先安排治疗。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凭条打印</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实现分诊凭条的打印功能。分诊凭条显示患者基本信息、体征、意识状态、病情分级、科室、号别等信息，方便就诊。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腕带打印</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实现分诊腕带的打印功能，便于查找患者和方便救治。</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读取生命体征</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实现从连接的生命体征仪中读取监测数据结果并自动填入生命体征的各个对应项目功能。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修改挂号时间</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实现对挂号时间的往前修改功能。主要对于例如抢救分诊的滞后性，让挂号时间更准确。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群伤管理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实现群伤性事件按总人数一次性批量登记产生登记号功能。</w:t>
                  </w:r>
                  <w:r>
                    <w:br w:type="textWrapping"/>
                  </w:r>
                  <w:r>
                    <w:rPr>
                      <w:color w:val="000000"/>
                      <w:sz w:val="22"/>
                    </w:rPr>
                    <w:t>以便于患者各自快速分诊，各自记录基本信息、当前信息等，以得到最有效的救治；可按开始时间、结束时间查询一定时间段内的所有登记记录。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47</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重大事件</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实现重大事件的事件录入和患者关联功能。</w:t>
                  </w:r>
                  <w:r>
                    <w:br w:type="textWrapping"/>
                  </w:r>
                  <w:r>
                    <w:rPr>
                      <w:color w:val="000000"/>
                      <w:sz w:val="22"/>
                    </w:rPr>
                    <w:t>可按开始日期、结束日期查询一定时间段的重大事件；可按某个事件查看所有关联患者。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上传图片</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实现对患者本次分诊中关于急救单、救助单、接警单的图片文件上传、查看和删除。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干预措施</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实现对患者本次分诊生命体征(体温、脉搏、心率、呼吸、收缩压、舒张压、SPO2、血糖)的多次跟踪填写和历史记录查看功能。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出租用品</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实现对轮椅等租用工具的租用、更新、归还操作和历史操作记录按租用日期时间段、租用者姓名、状态条件查询功能。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分诊查询</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实现对已分诊记录的查询、导出功能。(导出内容包含患者就诊时间、姓名、年龄、性别、来院方式、科别、分级、初步诊断、电话号码、分诊护士等，并可依据病种、分级、科别等进行分类统计)查询病人未收费标记以开始日期时间、截止日期时间为主，以登记号、症状、号别、筛查、来诊方式、级别、既往史、分诊科室、已挂号/未挂号为辅过滤条件查询；主要展示内容为创建日期、创建时间、就诊日期、就诊时间、等候时间、患者基本信息、症状、生命体征、分诊科室、号别、来诊方式、绿色通道、假条、既往史、转诊科室、护士分级、分诊护士信息。</w:t>
                  </w:r>
                  <w:r>
                    <w:br w:type="textWrapping"/>
                  </w:r>
                  <w:r>
                    <w:rPr>
                      <w:color w:val="000000"/>
                      <w:sz w:val="22"/>
                    </w:rPr>
                    <w:t>急诊预检分诊系统，主要是根据患者的症状和体征，区分病情的轻、重、缓、急及隶属专科，进行初步诊断、安排救治。形成一个以服务患者为中心，高效率、快节奏、高质量的预检分诊系统。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52</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门诊分诊排队叫号系统</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医生实时出诊信息</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自动获取分诊区科室医生实时出诊信息，包括待诊人数、已接诊人数、当前接诊病人、剩余号源等信息。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分诊规则设置</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按照医院业务要求，设置分诊规则，可按出诊医生、专家、诊室、时间段、序号和初诊/复诊等条件配置。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信息获取</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自动获取患者挂号或就诊信息，包括姓名、性别、身份证号码等患者基本信息以及挂号科室、预检(如体温)、历史就诊信息等。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诊室分配</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按照分诊规则形成队列，支持自动或者人工进行诊室分配。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就诊排队干预</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提供就诊队列设置，支持多个队列的叫诊模式，可根据实际情况为患者设置优先、撤销、暂离等状态。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57</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时间段设置</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支持配置不同时间段的就诊人数，根据医院门诊科室排班情况，将候诊患者分配到指定的时间段内。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就诊提醒</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提供语音、显示屏幕、移动终端等多种方式的就诊提醒接口服务。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统计查询</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可统计每日窗口人工服务或自助服务等渠道分诊人数信息。支持分诊日期查询条件对相关明细进行查询。</w:t>
                  </w:r>
                  <w:r>
                    <w:br w:type="textWrapping"/>
                  </w:r>
                  <w:r>
                    <w:rPr>
                      <w:color w:val="000000"/>
                      <w:sz w:val="22"/>
                    </w:rPr>
                    <w:t>门诊分诊系统可满足门诊智能化管理需求，优化医院门诊分诊规则，规范医院门诊医疗流程，建立良好有序的就诊秩序。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60</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门急诊挂号收费系统</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门急诊预交金充值</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为方便患者就医、提供一站式服务，患者可以给给就诊卡充值一定金额的预交金，在患者就诊、取药，在医技科室做诊疗时就可以刷卡消费，不用再排队等候；也利于医院对资金进行管理。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门急诊预交金退款</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患者在就诊结束后，可以将储存在就诊卡中的钱退回。</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门急诊账户结算</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患者在就诊结束后，可以做账户结算、退卡。患者下次再来就医时则需要重新建卡。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发票管理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发票购入，发放。财务科对购入的发票进行管理，将购入的发票发放给的收费员。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补录费用</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支持收费员给患者补录费用，如做检验、检查需要的导管，材料等。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门急诊费用结算</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根据不同患者类别，自动确定收费比例，计算患者自付金额与记账金额，并可将结算完毕的药品处方同步传送给对应药房的摆药机。支持患者通过线上线下等多种支付方式完成结算。支持根据不同患者类别打印不同格式的发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锁定就诊</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门急诊收费界面查询出就诊记录后会锁定就诊，在医生界面提示就诊被锁定，反之，如果医生界面打开就诊，在收费界面提示该就诊被锁定，不能结算。就是说同一个病人的门急诊收费结算界面和医生医嘱录入界面不能同时操作，病人缴费过程中不允许医生开医嘱。</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67</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跳号</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提供发票因为某些原因(例如卡纸、破损)导致该发票不能继续使用时，进行发票的作废功能。即在HIS系统中将此发票号作废，下一个患者结算时就可以打印正常的发票，且保证HIS系统中的号码跟实际发票号一致。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门急诊收费异常处理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提供对收费或退费过程中产生异常而未能完成收费或退费的业务进行撤销、完成的操作。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发票集中打印</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提供对患者在科室卡消费、自助机、APP上缴了费，或医保患者结算时先自费垫付但没有打印发票的费用进行医保报销且打印发票。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退费申请</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医院相关部门如果需要对患者退费进行把控确认，则可由原开单科室医生或超级管理员对患者已经缴过费且未执行、未发药的医嘱做退费申请，以便后面进行退费。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退费审核</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医院相关部门如果需要对退费申请再做二次把控确认，则可由负责审核的专员进行审核或者撤销，审核通过则可以后续退费。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门急诊退费</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根据医院流程，退费可以由收费处直接退费，也可以经过医生停医嘱以及财务人员的审批后再退费。支持按票据号、登记号、就诊卡号等方式查询患者缴费信息。非收费员补录的医嘱退费需院内相关部门确认后方可执行退费，而收费员补录的医嘱可直接退费。支持线上线下等多种退款途径。</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医保业务处理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支持与本区域医保中心提供的相关接口对接，包括登记信息上传、费用上传、费用预结算、费用结算、结算取消、医保数据对照、医保对账等。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门急诊收据查询</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支持按患者、收费员、日期、结算费别等条件查询收费、退费、打印发票的明细，方便核对。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打印患者费用清单</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在门急诊收据查询界面，提供打印患者费用清单功能。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收费员日结</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收费员在下班前、交账时做结账。提供报表和建卡、挂号、退号、门急诊预交金充值退款、门急诊收费退费等业务明细方便收费员对自己手中的款项和票据进行核对，并给财务交账。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77</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收费员日结汇总</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提供收费组长或财务对收费员交的账务进行核对并上交报表存档。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门急诊发票管理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提供发票购入、发放、转交功能。财务科对购入的发票进行管理，将购入的发票发放给办理收费员；未使用的发票还可以转交给其他收费员。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医技计费</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门诊病人交费后，系统可以确认相关检查信息。</w:t>
                  </w:r>
                  <w:r>
                    <w:br w:type="textWrapping"/>
                  </w:r>
                  <w:r>
                    <w:rPr>
                      <w:color w:val="000000"/>
                      <w:sz w:val="22"/>
                    </w:rPr>
                    <w:t>门诊病人补记项目，可以用门诊号直接划价，或者在检查单基础上增加收费。所有项目必须进行处置确认，才能计入科室核算收入。</w:t>
                  </w:r>
                  <w:r>
                    <w:br w:type="textWrapping"/>
                  </w:r>
                  <w:r>
                    <w:rPr>
                      <w:color w:val="000000"/>
                      <w:sz w:val="22"/>
                    </w:rPr>
                    <w:t>检查科室只能对本科确认计费项目退费。</w:t>
                  </w:r>
                  <w:r>
                    <w:br w:type="textWrapping"/>
                  </w:r>
                  <w:r>
                    <w:rPr>
                      <w:color w:val="000000"/>
                      <w:sz w:val="22"/>
                    </w:rPr>
                    <w:t>可以进行病人费用查询，和工作量收入统计。</w:t>
                  </w:r>
                  <w:r>
                    <w:br w:type="textWrapping"/>
                  </w:r>
                  <w:r>
                    <w:rPr>
                      <w:color w:val="000000"/>
                      <w:sz w:val="22"/>
                    </w:rPr>
                    <w:t>门急诊收费系统可方便患者就诊、缴费、退费，提高患者就医体验。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80</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门急诊医生工作站</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自动获取信息和医嘱监控</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支持自动获取病人信息。</w:t>
                  </w:r>
                  <w:r>
                    <w:br w:type="textWrapping"/>
                  </w:r>
                  <w:r>
                    <w:rPr>
                      <w:color w:val="000000"/>
                      <w:sz w:val="22"/>
                    </w:rPr>
                    <w:t>自动审核医嘱的完整性和合理性，并提供痕迹跟踪功能。支持合理用药实时监控系统。</w:t>
                  </w:r>
                  <w:r>
                    <w:br w:type="textWrapping"/>
                  </w:r>
                  <w:r>
                    <w:rPr>
                      <w:color w:val="000000"/>
                      <w:sz w:val="22"/>
                    </w:rPr>
                    <w:t>提供所有医嘱备注功能。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81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历史就诊记录</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支持授权医生可以查询病人的历次就诊相关信息。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82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核算功能</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支持自动核算费用、并支持当地医保结算政策。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83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诊断录入</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医生可以根据病人的情况开相应的诊断(ICD10)和病情，并可以在处方和相关申请单上打印出。支持诊断模板、历史诊断、诊断复制等诊断快捷录入方式。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84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医嘱录入</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集成医嘱的录入、展示、操作等功能，并支持模糊检索、个人及科室模板、历史医嘱复制、字典查询、常用医嘱用法、医嘱套、检查检验申请、治疗申请等多种录入方式。在录入过程中结合用户习惯，对内容进行排名，可默认医嘱明细数据，确保用户准确便捷的录入医嘱。集成知识库系统，提供相互作用、说明书、建议医嘱等辅助功能，也支持自定义当地医保管控，结合患者病种、特殊诊断等信息对医疗费用进行管控。医嘱审核后自动发送至对应的执行科室，包括护士站、药房、治疗科室、医技科室等，并能直观展示当前医嘱的执行进度，支持医嘱审核后未缴费之前修改医嘱处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85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检查检验申请</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集成各类检验、检验、病理医嘱的申请入口，集中展示且可自定义树状结构，支持多部位检查申请、自定义病理申请、多标本检验申请，集成显示已发送各种申请的当前状态，同时直观展示结果及报告信息。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86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治疗申请</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集中治疗项目申请入口，用户选择对应的治疗医嘱后可自定义治疗方案内容，治疗科室按照申请内容为患者提供预约治疗服务。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87</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中草药录入</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结合中草药处方的特性，提供草药饮品、颗粒剂、小包装、膏方等不同处方剂型的录入方式，支持协定处方，支持基本单位自动转化多种包装数量发药。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88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处方处理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可根据医院要求对处方进行归类分类设置，保存医嘱时自动按照处方分类设置自动分处方。支持在处方分类的基础上区分急诊、儿科处方、毒麻处方等。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89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绿色通道</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对特殊的病人进行处理，包括病人不交费情况下可以进行和交费病人一样的处理，并可以进行优先就诊设置，提前处理(抢救、下各种申请等)。可以对本科室自备药进行管理。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90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更新病人信息</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可以对病人的基本信息如姓名、性别，类别，工作单位，年龄进行修改并更新。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91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一键打印</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所录入医嘱按照其基础数据分类可自动进行相应归类，选中相应单据即可打印相应的处方或申请单。处方支持卫健委最新处方书写要求的分色打印。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92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医疗质量控制</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重复医嘱判断、药品库存量判断、药品适应证判断、根据诊断控制药品的用药疗程、限制某类医嘱的条数、限制处方的条数，根据处方类型限制医嘱的使用，根据上次就诊医嘱用量限制本次用量、加入用药备注，限制本次就诊的医嘱费用、依据用法、用量、疗程自动计算整包装、成组医嘱的自动匹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93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电子病历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可以查询病人的相应的过往检查检验结果和诊断记录，并书写病历，在电子病历系统中详细描述。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94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医生服务</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通过电子病历的调阅可以获得临床治疗信息；根据授权医生可以接入Internet进行资料查询，并可以进行院内科研、技术交流。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95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统计查询</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床位查询与预约、药品查询、诊疗项目查询、病人费用查询。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96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其它</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过往就诊记录的查询、过往就诊医嘱记录的查询、复制过往医嘱到本次医嘱录入中、过往诊断记录的查询、复制过往诊断到本次诊断录入中。</w:t>
                  </w:r>
                  <w:r>
                    <w:br w:type="textWrapping"/>
                  </w:r>
                  <w:r>
                    <w:rPr>
                      <w:color w:val="000000"/>
                      <w:sz w:val="22"/>
                    </w:rPr>
                    <w:t>门急诊医生工作站系统的建设满足门急诊医生日常诊疗工作的需求，也进一步的提高了门急诊医生的工作效率。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97</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门急诊输液管理</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配液申请</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输液室护士对患者医嘱向配液中心申请配液，包括：申请配液、申请打包、取消申请。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98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接收申请</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配液中心对护士申请的配液记录进行接收，包括：接收、拒绝接收、配液接收、打包接收。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99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配伍审核</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对配液的医嘱信息进行审核操作，包括：审核通过、审核拒绝、取消审核。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100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配液打签</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打印接收的配液记录的输液标签。</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101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排药</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记录每组液体的排药人、排药时间、排药状态等。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102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核对</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对每组液体排药后的核对信息的记录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103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配置管理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对每组液体通过移动设备或者扫描枪执行配置操作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104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复核</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对配置后的液体进行复核，核对药品的稳定性等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105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配液交接</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将复核后的液体交接个物流人员，送到输液中心</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106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配液综合查询</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查询打签后的用药记录的详细信息，一旦打签，此处就能查询到相关信息，亦可进行补打标签、补打排药单。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107</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配液退药</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由输液室护士对普通患者的输液先做退费申请，急诊留观押金患者需要做急诊留观退药申请，配液中心通过申请单进行退药。退药后患者才能退费。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108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移动门急诊配液</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通过PDA实现门急诊配液的全流程扫码管理。</w:t>
                  </w:r>
                  <w:r>
                    <w:br w:type="textWrapping"/>
                  </w:r>
                  <w:r>
                    <w:rPr>
                      <w:color w:val="000000"/>
                      <w:sz w:val="22"/>
                    </w:rPr>
                    <w:t>门急诊配液管理系统的应用，实现了配液的全流程监控，保证了患者的用药安全质量，提高了门急诊配液的效率，保证了患者的及时准确用药。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109</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日间手术管理系统</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开立住院证及院前检查检验医嘱</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病人先在门诊看诊，对于预住院及日间手术的病人，由门诊医生开立住院证，选择“预住院”或“日间手术”后保存时系统会生成预住院记录，医生可以在此预住院记录上开立院前检查检验。</w:t>
                  </w:r>
                  <w:r>
                    <w:br w:type="textWrapping"/>
                  </w:r>
                  <w:r>
                    <w:rPr>
                      <w:color w:val="000000"/>
                      <w:sz w:val="22"/>
                    </w:rPr>
                    <w:t>对于日间手术的病人医生可以填写日间手术的相关信息。系统支持日间手术的权限管理。另外开住院证时系统支持跨病区收治，能有效提高医院的床位利用率。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110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交预住院押金</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之后预住院/日间手术的患者需到住院处交押金。</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111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执行检验检查医嘱</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交完押金后病人到预住院中心(或日间手术病房、病区护士站)采血，打印条码时会有“预”、“日间”的标示。并到检查科室做相关检查。执行时系统支持欠费的控制，如患者欠费则不能执行检查检验。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112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日间手术麻醉术前评估</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对于日间手术的患者，需要进行麻醉术前评估，评估病人是否能做麻醉及日间手术。麻醉评估分为系统内和系统外。是否在系统中麻醉评估可以进行配置，如配置为系统内，麻醉医生可以在手术列表中查询拟日间手术申请，并进行麻醉评估，麻醉评估通过的才能进行后续日间手术的流程，如评估不通过则只能转入门诊或转常规手术治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113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日间手术评估</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检查检验报告出具以后，医生可以查看检查检验报告，根据检查检验结果评估是否可以住院，系统支持由门诊医师进行评估也支持住院医生进行评估。如检查检验结果显示病人不适合预住院或做日间手术，则可以将病人转为门诊，之后患者可以到门诊结算，门诊结算完后再到住院处退押金。如可以住院，对于普通预住院的患者，则进行床位预约。对于日间手术的患者还要进行日间手术确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114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日间手术正式确认</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医生查看检查检验结果后病人如能做日间手术，则需对之前发送的拟日间手术进行确认，确认时需要填写完整的手术信息，包括日间手术日期、术者等，日间手术确认后可以进行麻醉及手术排班。</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115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床位预约</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有些医院开启了床管中心，对于开启了床管中心流程的，需要在系统中进行床位预约。系统支持床位的登记及预约，且支持跨病区预约床位，实现全院床位资源共享。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116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麻醉及手术安排</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手麻科室可以进行日间手术的安排，手术列表中日间手术的病人标注为“日间”。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117</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转入住院</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病人预约到床位及手术后，预约当天病人来院办理住院手续转入住院。转入时院前的医嘱及费用会同步转入住院中。</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118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日间手术麻醉术后评估</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转入住院后日间手术的患者进行手术，日间手术术后麻醉医生会进行麻醉术后评估。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119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日间手术出院评估</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日间手术的患者出院前要进行出院评估，出院评估通过后，日间手术病人可以进行相应的出院操作。如评估不通过，则一般会转入普通病区继续治疗直至出院。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120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日间手术随访</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日间手术出院后，还需要进行随访，系统支持日间手术患者的随访。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121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门诊费用转住院</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有些医院因为医保政策及医院管理的原因，会将院前检查检验开立到门诊的记录上，患者在门诊缴费、做相应的检验检查。住院后可以将门诊的费用转入住院报销。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122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日间手术的相关统计</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系统提供了日间手术的相关统计报表，包括日间手术工作量统计、日间手术分类统计、日间手术麻醉方式统计。</w:t>
                  </w:r>
                  <w:r>
                    <w:br w:type="textWrapping"/>
                  </w:r>
                  <w:r>
                    <w:rPr>
                      <w:color w:val="000000"/>
                      <w:sz w:val="22"/>
                    </w:rPr>
                    <w:t>预住院日间手术管理能有效缩短患者平均住院日，提高床位周转率。对患者来说，减少了住院天数及住院费用。另外通过跨病区收治能实现全院床位共享，有效提高医院的床位利用率，在不增加医院投入的情况下提高医院的收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123</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急诊留观系统</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病人列表</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支持按本人、本组及本科室查看病人列表；支持按照各抢救留观区查看病人；可显示各级别、是否绿色通道标志、押金余额/担保余额、危重、转出、手术等不同状态的病人；提供一键查看病人病历的快捷入口。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124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信息总览</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急诊病人信息预览可直观的显示患者的基本信息、分诊详情、诊断记录；并提供了检验检查快捷查看入口以及危急值提醒标识；支持查看患者本次就诊的整个流转信息，包括分诊、挂号、下诊断、开医嘱等各个流程节点以及在各个节点的停留时间，为后期优化急诊资源配置提供依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125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诊断录入</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用户\科室自动义模板、历史诊断、模糊检索等录入方式，用户可选择诊断类型、诊断级别、附加说明、标准ICD诊断、非标准ICD诊断等信息录入；诊断信息符合传染病上报条件时自动上报；诊断信息符合临床入径诊断时提示是否入径。</w:t>
                  </w:r>
                  <w:r>
                    <w:br w:type="textWrapping"/>
                  </w:r>
                  <w:r>
                    <w:rPr>
                      <w:color w:val="000000"/>
                      <w:sz w:val="22"/>
                    </w:rPr>
                    <w:t>如医生录入传染病诊断，在该传染病还未上报情况下，系统将自动打开传染病上报界面，强行要求医生上报，医生需在弹出的界面中完善法定传染病上报的信息并成功上报后，传染病诊断才可成功开立，若上报失败或选中不上报，则不能成功录入诊断。</w:t>
                  </w:r>
                  <w:r>
                    <w:br w:type="textWrapping"/>
                  </w:r>
                  <w:r>
                    <w:rPr>
                      <w:color w:val="000000"/>
                      <w:sz w:val="22"/>
                    </w:rPr>
                    <w:t>支持在录入食源性疾病诊断时，提示填报食源性疾病报告。</w:t>
                  </w:r>
                  <w:r>
                    <w:br w:type="textWrapping"/>
                  </w:r>
                  <w:r>
                    <w:rPr>
                      <w:color w:val="000000"/>
                      <w:sz w:val="22"/>
                    </w:rPr>
                    <w:t>支持在录入孕周诊断时会自动弹出末次月经时间，填写保存后自动插入诊断。</w:t>
                  </w:r>
                  <w:r>
                    <w:br w:type="textWrapping"/>
                  </w:r>
                  <w:r>
                    <w:rPr>
                      <w:color w:val="000000"/>
                      <w:sz w:val="22"/>
                    </w:rPr>
                    <w:t>支持在录入诊断的时候如果性别、年龄不满足给出提示信息。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126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医嘱录入</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系统提供医生工作站基础配置功能，可按照院区对急诊就诊有效天数、是否下医嘱后置为到达、使用个人诊断模板、不同医嘱类型需要提示重复的子类(如果该子类的医嘱已录入过医嘱，选择其他的医嘱类型录入该医嘱时，会提示重复)、未下诊断可以下医嘱等配置项；</w:t>
                  </w:r>
                  <w:r>
                    <w:br w:type="textWrapping"/>
                  </w:r>
                  <w:r>
                    <w:rPr>
                      <w:color w:val="000000"/>
                      <w:sz w:val="22"/>
                    </w:rPr>
                    <w:t>医嘱录入界面布局支持自定义化设置，可按安全组或个人习惯设置页面布局方式；</w:t>
                  </w:r>
                  <w:r>
                    <w:br w:type="textWrapping"/>
                  </w:r>
                  <w:r>
                    <w:rPr>
                      <w:color w:val="000000"/>
                      <w:sz w:val="22"/>
                    </w:rPr>
                    <w:t>提供了维护医嘱套和医嘱模板的快捷入口，支持按医嘱套、医嘱模板快速录入医嘱方式，同时可根据已录入医嘱，快速生成医嘱模板；针对已审核和未审核的医嘱在医嘱名称列上进行颜色区分；</w:t>
                  </w:r>
                  <w:r>
                    <w:br w:type="textWrapping"/>
                  </w:r>
                  <w:r>
                    <w:rPr>
                      <w:color w:val="000000"/>
                      <w:sz w:val="22"/>
                    </w:rPr>
                    <w:t>支持在开立检查、检验或病理医嘱时，自动改弹出申请单快速录入申请信息，一键发送；同时联动其他模块，实现以医嘱为驱动的业务核心。</w:t>
                  </w:r>
                  <w:r>
                    <w:br w:type="textWrapping"/>
                  </w:r>
                  <w:r>
                    <w:rPr>
                      <w:color w:val="000000"/>
                      <w:sz w:val="22"/>
                    </w:rPr>
                    <w:t>支持医嘱复制功能，快速复制之前已经开立的医嘱；</w:t>
                  </w:r>
                  <w:r>
                    <w:br w:type="textWrapping"/>
                  </w:r>
                  <w:r>
                    <w:rPr>
                      <w:color w:val="000000"/>
                      <w:sz w:val="22"/>
                    </w:rPr>
                    <w:t>支持根据高值耗材条码快速录入高值耗材医嘱；支持对未进行保存或提交的医嘱提供暂存功能。支持按照拼音简码和汉子快速查询录入医嘱；</w:t>
                  </w:r>
                  <w:r>
                    <w:br w:type="textWrapping"/>
                  </w:r>
                  <w:r>
                    <w:rPr>
                      <w:color w:val="000000"/>
                      <w:sz w:val="22"/>
                    </w:rPr>
                    <w:t>系统支持对未审核医嘱，进行同步备注功能。支持对多条医嘱时间不一致时，同步下方医嘱时间控制；</w:t>
                  </w:r>
                  <w:r>
                    <w:br w:type="textWrapping"/>
                  </w:r>
                  <w:r>
                    <w:rPr>
                      <w:color w:val="000000"/>
                      <w:sz w:val="22"/>
                    </w:rPr>
                    <w:t>支持对抗菌药物开立权限设置，没有抗菌药物审核权限的医生录入的抗菌药物医嘱，需要上级医师审核后才能生效。</w:t>
                  </w:r>
                  <w:r>
                    <w:br w:type="textWrapping"/>
                  </w:r>
                  <w:r>
                    <w:rPr>
                      <w:color w:val="000000"/>
                      <w:sz w:val="22"/>
                    </w:rPr>
                    <w:t>支持录入毒麻药品和精一药品医嘱时，判断患者是否有身份证号码，不存在时，需输入患者本人、或代办人身份证号码。(注不包括精二)</w:t>
                  </w:r>
                  <w:r>
                    <w:br w:type="textWrapping"/>
                  </w:r>
                  <w:r>
                    <w:rPr>
                      <w:color w:val="000000"/>
                      <w:sz w:val="22"/>
                    </w:rPr>
                    <w:t>支持通过配置对开医嘱时无费用的医嘱是否提示医嘱费用为零；</w:t>
                  </w:r>
                  <w:r>
                    <w:br w:type="textWrapping"/>
                  </w:r>
                  <w:r>
                    <w:rPr>
                      <w:color w:val="000000"/>
                      <w:sz w:val="22"/>
                    </w:rPr>
                    <w:t>保存医嘱增加暂存功能，离开医嘱录入界面时自动保存，重新登录界面，上次录入但未审核的医嘱显示在医嘱录入界面；</w:t>
                  </w:r>
                  <w:r>
                    <w:br w:type="textWrapping"/>
                  </w:r>
                  <w:r>
                    <w:rPr>
                      <w:color w:val="000000"/>
                      <w:sz w:val="22"/>
                    </w:rPr>
                    <w:t>如果维护了默认标本，则取默认标本，若未维护默认标本，标本默认为空，审核时给出相应提示信息。</w:t>
                  </w:r>
                  <w:r>
                    <w:br w:type="textWrapping"/>
                  </w:r>
                  <w:r>
                    <w:rPr>
                      <w:color w:val="000000"/>
                      <w:sz w:val="22"/>
                    </w:rPr>
                    <w:t>支持对标本相同+收费规定相同+接收科室一致+加急标志一致的检验医嘱可以进行并管操作；</w:t>
                  </w:r>
                  <w:r>
                    <w:br w:type="textWrapping"/>
                  </w:r>
                  <w:r>
                    <w:rPr>
                      <w:color w:val="000000"/>
                      <w:sz w:val="22"/>
                    </w:rPr>
                    <w:t>支持医嘱互斥提醒功能。(如果已经录入了长期医嘱A,在录入A的互斥医嘱(若是将自身维护为互斥，也同理),会给出相应提示信息)</w:t>
                  </w:r>
                  <w:r>
                    <w:br w:type="textWrapping"/>
                  </w:r>
                  <w:r>
                    <w:rPr>
                      <w:color w:val="000000"/>
                      <w:sz w:val="22"/>
                    </w:rPr>
                    <w:t>支持药品说明书查看功能，可实现与HIS知识库、大通或美康的交互。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127</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中草药录入</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提供开立草药医嘱功能，提供了维护草药医嘱套和医嘱模板的快捷入口，支持按医嘱套、医嘱模板快速录入草药医嘱，同时可根据已录入医嘱，快速生成医嘱模板；支持医嘱复制功能，快速开立医嘱；支持对中草药中存在的互斥医嘱的提示功能；</w:t>
                  </w:r>
                  <w:r>
                    <w:br w:type="textWrapping"/>
                  </w:r>
                  <w:r>
                    <w:rPr>
                      <w:color w:val="000000"/>
                      <w:sz w:val="22"/>
                    </w:rPr>
                    <w:t>支持维护药品的极限用量，对于草药医嘱，当单次剂量超过极限用量时给出提示，且不能成功审核。</w:t>
                  </w:r>
                  <w:r>
                    <w:br w:type="textWrapping"/>
                  </w:r>
                  <w:r>
                    <w:rPr>
                      <w:color w:val="000000"/>
                      <w:sz w:val="22"/>
                    </w:rPr>
                    <w:t>支持药品说明书查看功能，可实现与HIS知识库、大通或美康的交互。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128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检查检验申请</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根据检查检验开单质控要求，规范急诊医生开立检验检查方式，系统开立检验申请单、检验申请单、病理申请单模块；检查申请单支持同个检查项目选择不同部位、体位、后方法等，支持自动带入患者相关主诉、体征等公共，支持自定义各检查项目其他注意事项录入；支持自动调用知识库查看检验检测开单注意事项及说明；支持按照名称，拼音码方式快捷查询各个检查项目信息，方便医生快捷查找检查项目，进行申请单信息的填写。同时就诊信息申请列表可以通过就诊记录，检查分类，申请状态等条件去查询填写的申请单信息，方便医生修改，打印申请单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129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过敏录入</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系统支持自定义过敏原设置爱，可根据护士皮试结果自动插入过敏记录或手动录入两种方式，方便后续就诊提醒或控制；医护也可根据实际情况手工维护过敏记录。患者的过敏数据会在床位图、急诊医生列表、急诊医生工作站处进行醒目的提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130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医嘱查询</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停医嘱和医嘱查询集成，提供多种查询条件，方便医生查询各类型医嘱。本次医嘱界面显示总费用、已缴费合计、未缴费合计、余额，对于急诊留观押金模式的患者，显示总费用、已缴费用、押金、未缴合计；对检查检验和药品医嘱提供了查看医嘱状态跟踪的快捷入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131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总览打印</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系统提供统一打印界面，支持对处方、检查单、检验单、病理申请单、会诊等单据打印及预览。同时针对毒麻处方的处方提供对患者及代理人信息的快捷录入方式；支持对未打印病历的病人打印病历；处方打印支持按照卫健委最新处方书写要求分色打印。医生可以打印出带有处方号的处方，病人可以拿着此处方去直接交费取药，而不需要再去划价了打印医生的工作日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132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检查查询</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按照时间、就诊记录对病人本次就诊或历史就诊的检查医嘱及报告进行查询，支持查看检查医嘱状态跟踪；支持查询检查医嘱的适应证、禁忌症、不良反应及注意事项，提供查看检查医嘱的预约情况、危急值及提供图像或报告快速查看入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133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检验查询</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查询病人本次就诊的检验医嘱及结果。支持按照时间、就诊记录对病人本次就诊或历史就诊的检查医嘱及报告进行查询，支持查看检查医嘱状态跟踪；支持查询检查医嘱的禁忌症、采集注意事项；提供图像或报告快速查看入口；同时提供集中打印检验单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134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办理住院</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针对急诊留观或抢救需要转住院的病人，提供快捷开住院证入口，急诊医师根据读卡和录入登记号方式快捷录入病人信息；开完住院证证之后，同时可完成住院登记功能，减少急诊病人转住院办理手续，一站式完成办理入院相关手续，减少病人等待时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135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手术管理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系统提供的一站式工作平台，提供快捷开立手术申请入口、支持病人信息自动带入申请单界面；同时提供手术列表模块，可按照时间、手术分类查看该病人的相关手术申请信息；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136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急诊担保</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系统支持对危重病人可先抢救后付费，针对有特殊情况病人可走欠费流程，提供急诊担保功能，由经管医生发起申请、门办审批；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137</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状态变更</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患者在就诊过程中，如发生病情的变化如普通诊疗病人需要抢救或留院观察，可通过状态变更变更病人状态，转留观或抢救；同时在病人状态变更界面支持查询病人历次变更的信息明细，方便医生查看病人当前状态信息；整个急诊病人的流转数据最终会体现到医生信息总览处和质控报表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138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修改分级</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患者在就诊过程中，如发生病情的变化或分诊护士评估错误病情级别的情况下，急诊医生可以针对当前患者进行，患者分级，修改分级原因，分级评估等信息填写修改。系统支持带入相关评估信息方便急诊医师快捷录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139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病情总览</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系统提供病人全景视图功能，支持一站式查看病人本次及历次就诊数据，包括医嘱浏览、病历浏览、检查报告、检验结果、诊断浏览、过敏记录、麻醉记录、会诊查询、ICU护理记录单等；</w:t>
                  </w:r>
                  <w:r>
                    <w:br w:type="textWrapping"/>
                  </w:r>
                  <w:r>
                    <w:rPr>
                      <w:color w:val="000000"/>
                      <w:sz w:val="22"/>
                    </w:rPr>
                    <w:t>系统提供病人集成视图功能，支持按周查看病人每日各时间节点的诊断记录、生命体征、出入量、血压、检查检验医嘱、病历文书等数据；</w:t>
                  </w:r>
                  <w:r>
                    <w:br w:type="textWrapping"/>
                  </w:r>
                  <w:r>
                    <w:rPr>
                      <w:color w:val="000000"/>
                      <w:sz w:val="22"/>
                    </w:rPr>
                    <w:t>支持查看病人的护理病历记录单及内容、支持查看本次就诊的医嘱单数据及生命体征内容；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140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绿色通道</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系统支持对当前就诊病人进行取消或启用绿色通道流程。绿色通道标识具有时限控制，为特殊患者快速就诊可开放通绿色通道功能，并设置合理的有效时间(时效性),实现绿色通道病人先诊疗后付费的就诊流程。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141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预交金评估</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在变更病人状态为留观或者补交预交金时，需填写留观预交金评估内容；目的是为了是记录或查看评估预交金情况，后期做医疗质量统计；同时在病人缴纳预交金时，提醒收费员查看医生评估费用；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142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急诊会诊</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急诊医师填写需要会诊的科室、亚专业、指征、病人病情(支持对病人病历、检验检查、医嘱等信息的引用)和会诊目的后，发起急诊会诊；急会诊要求有2小时的时间控制和会诊双向评价机制；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143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床旁交接班</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急诊留观抢救区医生对病区重点关注病人进行每日交班记录填写，内容包括患者生命体征、交班内容、待入院管理；支持对病人基本信息的引用包括检验检测、生命体征、主诉现病史等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144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护士执行</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急诊留观护士站提供医嘱执行功能，支持按照医嘱分类进行页签自定义，如需处理、新医嘱、未执行、已执行、检验单、皮试单、输液单、口服单、注射单、</w:t>
                  </w:r>
                  <w:r>
                    <w:br w:type="textWrapping"/>
                  </w:r>
                  <w:r>
                    <w:rPr>
                      <w:color w:val="000000"/>
                      <w:sz w:val="22"/>
                    </w:rPr>
                    <w:t>出院带药单、消耗材料单等，支持显示内容自定义，可按医嘱状态、用法、接收科室定义每个页签的显示内容；按按照不同的页签维护功能操作按钮，如：输液卡、执行、查对等；支持打印输液卡、贴瓶签、执行单、检验条码；支持按照登</w:t>
                  </w:r>
                  <w:r>
                    <w:br w:type="textWrapping"/>
                  </w:r>
                  <w:r>
                    <w:rPr>
                      <w:color w:val="000000"/>
                      <w:sz w:val="22"/>
                    </w:rPr>
                    <w:t>记号或读卡查询病人本次门急诊就诊所有医嘱；提供过敏记录快捷录入入口，方便护士做完皮试后直接录入过敏内容；支持快速查看病人医嘱费用以及费用的整体构成(西药、中药、材料等);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145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医嘱需关注</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提供医嘱需关注功能，支持对特殊病人的医嘱快速执行处理、忽略(未执行的进行忽略，有部分医嘱不应该由急诊科执行(重症监护系统、PDA都可执行医嘱),病人周转快)、支持查看病人的已忽略医嘱列表。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146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补录医嘱</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系统提供补录医嘱功能，可对部分材料医嘱、治疗费用等进行补录；提供个人模板、科室模板、医嘱套维护功能的快捷入口，可按照个人和科室维护模板及医嘱套；并支持按照模板或医嘱套快速录入的方式。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147</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病人状态查询</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在病人状态变更界面支持查询病人历次变更的信息明细，方便护士查看病人当前状态信息；病人状态明细，可按就诊时间，分诊时间、状态改变时间、开医嘱、下诊断时间先后显示病人的就诊记录。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148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急诊床位图</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急诊留观床位支持基本的分床、换床、转科、安排主管医生、安排主管护士等功能，提供了生命体征填写、护理病历书写、护士执行、打印腕带等功能的快捷操作入口；同时可按需对留观床位图提醒图标进行配置。如可配置护理病历中的高危、跌倒、压疮、非计划拔管，营养、深静脉血栓等异常情况的图标提醒功能；针对部分临床标识，如新检验、新检查、检验标本拒收、用药审核未通过等，</w:t>
                  </w:r>
                  <w:r>
                    <w:br w:type="textWrapping"/>
                  </w:r>
                  <w:r>
                    <w:rPr>
                      <w:color w:val="000000"/>
                      <w:sz w:val="22"/>
                    </w:rPr>
                    <w:t>鼠标指向提示标识即课显示具体内容；如临床路径需入组病人，鼠标指向即显示需入组病种，点击即进入相应临床路径表单。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149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护士交接班</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科室交班支持按照日期、班次统计记录每日留观区各科室、各类型(抢救、中毒、清创、发热、死亡、手术等)的病人数量；</w:t>
                  </w:r>
                  <w:r>
                    <w:br w:type="textWrapping"/>
                  </w:r>
                  <w:r>
                    <w:rPr>
                      <w:color w:val="000000"/>
                      <w:sz w:val="22"/>
                    </w:rPr>
                    <w:t>床旁交班：急诊抢救、留观区病人每日护士交班记录，通过采用当前的主流交班模式(sbar),全景展示患者的整个诊疗情况；(包括主诉、初步诊断、生命体征、治疗方案、检查项目、使用药物情况、各种管道是否通畅、皮肤及伤口情况等)(支持对病人基本信息的引用包括检验检测、生命体征、主诉现病史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150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体温单</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生命体征录入支持按照单人生命体征录入和多人生命体征录入两种方式；可根据需要维护质控条件，如测量体温质控(入院新病人必须填写、护理级别等质控条件)、提供自定的列维护(但是不允许维护固定项目);支持患者体征自动采集、转记、出入液量的自动计算等功能。</w:t>
                  </w:r>
                  <w:r>
                    <w:br w:type="textWrapping"/>
                  </w:r>
                  <w:r>
                    <w:rPr>
                      <w:color w:val="000000"/>
                      <w:sz w:val="22"/>
                    </w:rPr>
                    <w:t>系统支持体征数据的自动与手工记录，连接监护仪等相关医疗设备，设置采集频率，将采集的体征导入到记录单，医护可对采集的数据进行后期调整。系统支持记录体温(包括物理降温),脉搏，呼吸，血压、血糖、血氧饱和度、大便次数等数值的采集。作为了解病情，协助诊断，决定治疗方案的重要依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151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急诊转科</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急诊留观患者所患疾病涉及其他科室专业范围时，支持转移留观区或转移就诊科室操作，记录转科记录，最终体现在病人流转记录中。</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152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待入院管理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支持针对急诊病人需要转入院，但待入院病区暂无法接收的患者的登记及查询功能。(在急诊质控统计里计算急诊病人平均留观时间时，会计算到填写的时间点位置)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153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转住院交接单</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急诊病人需转住院科室时，需填写急诊转住院交接单。记录患者基本信息、一般情况(监护仪使用情况、生命体征填写)、气道情况、输液情况及导管等；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154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病历浏览</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系统提供病人全景视图功能，支持护士一站式查看病人本次及历次就诊数据，包括医嘱浏览、病历浏览、检查报告、检验结果、诊断浏览、过敏记录、麻醉记</w:t>
                  </w:r>
                  <w:r>
                    <w:br w:type="textWrapping"/>
                  </w:r>
                  <w:r>
                    <w:rPr>
                      <w:color w:val="000000"/>
                      <w:sz w:val="22"/>
                    </w:rPr>
                    <w:t>录、会诊查询、ICU护理记录单等；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155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护理单</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危重患者护理计划及护理记录是护士根据医嘱和病情对危重患者住院期间护理过程的客观记录，是具有法律效力的文字资料。急危重症患者监护过程中，需要详细记录各种体征、出入量等多种监测指标，记录的准确、及时、完整、连贯是危重患者护理记录书写的基本要求。在护理项目上，采用可配置化的设计模式，所有观察项目均可根据各临床科室关注点不同的特点灵活方便配置。</w:t>
                  </w:r>
                  <w:r>
                    <w:br w:type="textWrapping"/>
                  </w:r>
                  <w:r>
                    <w:rPr>
                      <w:color w:val="000000"/>
                      <w:sz w:val="22"/>
                    </w:rPr>
                    <w:t>根据急诊科的专科特点，将急诊留观区工作标准化、流程化和自动化。充分利用床边设备数据采集、全院临床信息集成、基于移动设备的临床数据可视化技术，最大程度提升临床工作效率。同时，节省医护人员书写标准化的临床文书的时间，把医护人员的时间还给病人。为快速制定并优化病人的治疗方案，从而使病人获得及时有效优质的诊疗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156</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住院管理- 住院收费系统</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押金收据管理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押金收据购入、发放、转交。财务科对购入的押金收据进行管理，将购入的押金收据发放给办理收取押金业务的收费员；未使用的收据还可以转交给其他收费员。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157</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住院发票管理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发票购入、发放、转交。财务科对购入的发票进行管理，将购入的发票发放给办理出院结算的收费员；未使用的发票还可以转交给其他收费员。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158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住院押金管理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可以按照各种支付方式收取押金，如现金，支票，汇票等，如果是支票，汇票则可以录入相关的信息，如银行，支票号，汇票号等详细信息，并打印押金收据</w:t>
                  </w:r>
                  <w:r>
                    <w:br w:type="textWrapping"/>
                  </w:r>
                  <w:r>
                    <w:rPr>
                      <w:color w:val="000000"/>
                      <w:sz w:val="22"/>
                    </w:rPr>
                    <w:t>在押金没有结算的情况下，可以给病人退押金，并打印押金收据；作废重复打印押金收据：在押金收据打印异常的情况下，可以作废异常的押金收据，并重复打印新的押金收据；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159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出院管理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出院登记；出院召回；出院查询。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160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住院担保</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为特殊患者、绿色通道患者进行住院费用担保，在执行医嘱时不会因为押金余额不足而导致患者诊疗障碍，让患者无忧诊疗。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161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中途结算</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可以按某段时间或某些医嘱等规则拆分出一个账单进行结算，结算时可以选择结算病人未结算的押金，对病人多退或少补的金额可以选择一种或多种支付方式进行结算，并打印中途结算发票，病人不出院，患者后续就诊产生的费用自动计到未结算的账单上。支持医保病人结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162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“欠费/结存”结算</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有些医院在年终由于涉及结算本年度的账，会由专人统一大批量的将本年度的费用结算掉，后续产生的费用算入下一年。这时该负责专员可以选择“欠费/结存”的支付方式来结算。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163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欠费患者转出与补交</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对以“欠费/结存”结算的费用，等后面患者来办理财务结算时，再“补交/退回”差额，而不需要取消结算重新结，操作方便，而且不用担心由于医保报销额度引起的困扰。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164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住院费用核查</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护士办理最终结算、收费员办理财务结算时，会进行费用核查，以防止漏费和不合规收费的管控。对费用有问题的医嘱或不合规的收费进行把控、调整、费用补查，减少因费用问题引起的不必要的医患矛盾。</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165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取消中途结算</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针对做中途结算拆分出来的账单，提供撤销功能，即合并账单。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166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出院结算</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核对病人账单费用总额，自付金额和押金总额无误后，办理病人出院，可以对病人多退或少补选择一种或多种支付方式进行结算，打印出院发票，并做财务结算，并打印费用明细单给病人。支持医保病人结算。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167</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取消结算</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如果病人出院结算后发现费用有错误，收款员可以取消病人出院结算，取消结算后，押金回到未结算的状态，然后医生对错误的医嘱调整后，收费员进行账单，重新计算病人的费用总额，自付费用等，收费员确认费用无误后，重新办理病人出院结算，重新打印发票并打印费用明细单给病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168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打印押金催款单</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打印押金催款单：可以查询某个病区的欠费病人，同时显示欠费病人的费用总额，押金总额和欠费金额，可以录入需补交的押金，然后打印押金催款单给病人进行催款。办理住院登记后可以打印住院就诊卡给病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169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打印病人费用明细单</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可以查询并打印某个账单的医嘱费用明细，各分类的医嘱费用总额。</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170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打印病人每日费用明细单</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可以查询并打印某个病区病人的费用明细单，可以单独查询并打印某个病人的费用明细单。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171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打印病人预交金明细账</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可以查询并打印某段时间内的住院病人的收押金，退押金明细和出院病人的退押金明细。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172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收款员日报表</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查询收费员办理的所有押金明细和出院发票明细，统计收费员的收押金总额，退押金总额(包括住院退押金，出院退押金),出院结算病人的费用总额，以及应当上交的现金，支票等金额，对作废的押金收据和作废的发票在日报表中单独列出，并打印收费员日报表上交财务科，如果需要可以打印明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173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住院收费查询</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可以根据病人的就诊日期，病人的收费类别，科室，登记号，姓名等条件查询病人的未结算，已结算的账单信息。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174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收费员日结</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和门诊收费员日结类型，收费员在下班前、交账时做结账。提供报表和收退押金、结算、取消结算等业务明细方便收费员对自己手中的款项和票据进行核对，并给财务交账。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175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收费员日结汇总</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和门诊收费员日结汇总类型，提供收费组长或财务对收费员交的账务进行核对并上交报表存档。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176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医技收费</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住院病人确认检查治疗单时，自动给病人计费。</w:t>
                  </w:r>
                  <w:r>
                    <w:br w:type="textWrapping"/>
                  </w:r>
                  <w:r>
                    <w:rPr>
                      <w:color w:val="000000"/>
                      <w:sz w:val="22"/>
                    </w:rPr>
                    <w:t>住院病人补记项目，可以在检查单基础上增加收费。</w:t>
                  </w:r>
                  <w:r>
                    <w:br w:type="textWrapping"/>
                  </w:r>
                  <w:r>
                    <w:rPr>
                      <w:color w:val="000000"/>
                      <w:sz w:val="22"/>
                    </w:rPr>
                    <w:t>所有项目必须进行处置确认，才能计入科室核算收入。</w:t>
                  </w:r>
                  <w:r>
                    <w:br w:type="textWrapping"/>
                  </w:r>
                  <w:r>
                    <w:rPr>
                      <w:color w:val="000000"/>
                      <w:sz w:val="22"/>
                    </w:rPr>
                    <w:t>检查科室只能对本科确认计费项目退费。</w:t>
                  </w:r>
                  <w:r>
                    <w:br w:type="textWrapping"/>
                  </w:r>
                  <w:r>
                    <w:rPr>
                      <w:color w:val="000000"/>
                      <w:sz w:val="22"/>
                    </w:rPr>
                    <w:t>可以进行病人费用查询，和工作量收入统计。</w:t>
                  </w:r>
                  <w:r>
                    <w:br w:type="textWrapping"/>
                  </w:r>
                  <w:r>
                    <w:rPr>
                      <w:color w:val="000000"/>
                      <w:sz w:val="22"/>
                    </w:rPr>
                    <w:t>住院收费系统提供病人住院过程中发生的住院管理、押金管理、票据管理、费用管理等一系列功能，并对住院数据提供查询统计，既加强了医院对住院费用的控制，也增加了费用结算的准确性与及时性，提高工作效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177</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住院出入转管理</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入院登记</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对于首次住院的患者，应为患者完善基本信息，并建立入院档案生成住院号。若为复诊患者，可通过患者主索引读取相关信息。对于尚未入病区的患者，可以修改病区。支持登记需要预约床位的患者。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178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退院</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对尚未入病区的患者，可以取消患者的入院状态。如已分配了病区和床位，但没有发生实际费用，可由病区先办理出区，再做退院。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179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医保登记</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提供对已入院、需要做收费结算的医保患者进行医保登记的功能。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180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取消医保登记</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提供对已进行过医保登记的医保患者，进行取消登记的功能。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181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打印腕带</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给住院患者打印腕带，腕带上有患者登记号、病案号、二维码或条码、姓名、性别、年龄、科室病区、床号等信息。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182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患者信息修改</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提供对患者基本信息、就诊信息修改功能。例如修改患者出生日期、费别等。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183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患者信息修改查询</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在修改患者信息时做了修改日志记录，收费员可以查询给患者信息做过具体哪些修改。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184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入院分床</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对已经进行入院登记并分配到本病区的患者进行床位分配，同时可分配此患者的主管医生、管床护士以及填写患者入院时测量的生命体征记录(如体温、体重、身高等)。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185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入院撤销</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对尚未分床的患者，可以取消患者的入院状态。如已分配了床位，但没有发生实际费用，可由病区先将患者拉入等候区，再做入院撤销即退院处理。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186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医疗结算</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医生通过开立出院诊断，下出院医嘱，停长期医嘱等操作，对患者的本次住院进行医疗层面的结算。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187</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最终结算</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护士或医生首先要处理自己负责的出院需关注医嘱(如患者有未领取的药品，有未执行的医嘱，未退药的医嘱，未停止的长期医嘱，未做检查检验的医嘱等),同时审核患者费用。处理完毕并且审核通过后才可对患者进行出院操作，并通知患者到收费处进行下一步结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188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财务结算</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患者到收费处进行费用结账。对于医保患者，在出院结算前应确保费用明细全部上传。支持取消结账的功能。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189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出院召回</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出院召回是指已经办理了出院手续后有可能发现了某些新的不容忽视病况需要进行重新检查，或者出院的费用或手续有误，需要召回再处理。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190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记账</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支持患者补记账功能，患者额外使用的材料或在医嘱执行时无法收费的项目可做补记账处理；支持对补记账记录作废的功能。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191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出院患者账页</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支持查询统计出院患者的费用账单，提供账单汇总信息以及账单明细的查询功能。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192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转科需关注</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转科代表着患者在本科室治疗的阶段性完成，转科时也需要对患者需要结束的检查，检验，医嘱，药品，会诊等进行处理。转科需关注会自动查询出患者转科需要处理的情况。护士或医生根据提示对自己负责的需关注情况进行处理。转科时会根据配置对转科操作进行提醒或流程控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193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转科</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首先要处理完需关注医嘱，如未处理完成，转科时会有提醒或流程控制。处理完需关注医嘱后，当前科室的护士可对患者进行转科操作，选中患者，点击转科菜单，然后选择科室、病区(可选床位，主管医生)等信息进行转科申请。转科申请后患者将出现在本科室转出去，以及转入科室的等候区，转入科室护士进行分床操作后，完成本次转科。</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194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转病区</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当患者当前科室关联多个病区时，护士可以根据需要将患者转移到本科关联的其他病区。先选中患者，点击转移菜单，在转移病区区域，选择本科室关联的其他病区进行转病区操作。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195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分床</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为有效利用病区床位或因其他原因，患者需要转移到其他病床时，护士可选中患者，将患者拖到空闲床位上。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196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转移记录</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系统对于患者的分床，转科，转病区操作都进行了详实的记录，并绘制了流程图。从转移界面可清晰直观的了解患者的每一次转移的时间，科室，床位，转移人等信息。</w:t>
                  </w:r>
                  <w:r>
                    <w:br w:type="textWrapping"/>
                  </w:r>
                  <w:r>
                    <w:rPr>
                      <w:color w:val="000000"/>
                      <w:sz w:val="22"/>
                    </w:rPr>
                    <w:t>住院出入转系统可实现患者住院全过程规范管理。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197</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住院医生工作站</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住院病人列表</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以表格的形式展示当前在院的病人列表，汇总展示病人当前主要诊疗信息，特殊标注新入、病重、病危及其他特殊情况患者，同时提供了按照本人、本科、本医疗组、已出院、已转出、已手术等属性查询的快捷入口，提高了检索病人的简便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198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信息总览</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整合病历质控、病历缺陷、生命体征、检查检验执行进度等内容，直观展示当前病人的诊疗信息，同时提供医嘱浏览、执行、停止、撤销、作废等功能操作。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199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诊断录入</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提供标准ICD及非标准诊断录入，支持按照个人模板、科室模板、历史诊断等快捷录入。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200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检查检验申请</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集成各类检验、检验、病理医嘱的申请入口，集中展示且可自定义树状结构，</w:t>
                  </w:r>
                  <w:r>
                    <w:br w:type="textWrapping"/>
                  </w:r>
                  <w:r>
                    <w:rPr>
                      <w:color w:val="000000"/>
                      <w:sz w:val="22"/>
                    </w:rPr>
                    <w:t>支持多部位检查申请、自定义病理申请、多标本检验申请，集成已发生申请及各申请单当前状态，同时直观展示结果及报告信息。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201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治疗申请</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集中治疗项目申请入口，用户选择对应的治疗医嘱后可自定义治疗方案内容，治疗科室按照申请内容为患者进行预约治疗服务。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202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医嘱录入</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集成医嘱的录入、展示、操作等功能，并支持模糊检索、个人及科室模板、历史医嘱复制、字典查询、常用医嘱用法、医嘱套、检查检验申请、治疗申请等多达8种录入方式。在录入过程中结合用户习惯，对内容进行排名，协助默认医嘱明细数据，确保用户准确便捷的录入医嘱。集成知识库系统，提供相互作用、说明书、建议医嘱等辅助功能，也支持自定义当地医保结算正常，结合患者病种、特殊诊断等信息对医疗费用进行管控。支持出院、转科、手术等特殊医嘱录入，自动停止当前有效长期医嘱。医嘱审核后自动发送至对应的执行科室，包括护士站、药房、治疗科室、医技科室等，并能直观展示当前医嘱的执行进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203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中草药录入</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结合中草药处方的特性，提供草药饮品、颗粒剂、小包装、膏方等不同处方剂型的录入方式，支持协定处方，支持基本单位自动转化多种包装数量发药。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204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诊疗计划</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医师、护士、营养师等不同类型的人员可对同一患者制定各自的诊疗计划，并能与其他用户共同执行，用户可自定义诊疗计划模板。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205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交班本</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用户根据自己值班班次，系统自动抽取当前医疗小组下负责的病危、病重、死亡、出入转、手术等信息，结合每位患者当前病历、诊断、医嘱等内容，在上一班次医生补充部分交班内容、生成电子交班本信息后，交由下一班次医生浏览查看。</w:t>
                  </w:r>
                  <w:r>
                    <w:br w:type="textWrapping"/>
                  </w:r>
                  <w:r>
                    <w:rPr>
                      <w:color w:val="000000"/>
                      <w:sz w:val="22"/>
                    </w:rPr>
                    <w:t>住院医生站系统有效的实现各种信息资源的共享，协助医生诊疗工作、规范医疗行为，实现电子医嘱系统的全流程流转及全流程流转的反馈，提高医生工作效率和医疗质量。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206</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住院护士工作站</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床位图</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是按病房物理位置定制自己的病房管理界面布局，并维护自己界面信息(床号、病历号、姓名、年龄、诊断、病情、护理信息和图标显示信息等)。支持一个病区包含多个科室床位的管理模式，允许各科床位分别进行统计、核算，允许床位级别的特殊设定。提供病人入科、转科、出院处理并允许特殊情况下审批出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207</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患者信息展示</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床位图界面详细展示患者的基本信息(床号、病历号、姓名、年龄、诊断、病情、护理信息),并且对于展示的信息用户可以根据使用习惯进行项目和显示顺序的配置。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208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查询统计提醒</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提供患者模糊查询，可根据患者姓名，登记号，床号等各种信息进行床位筛选。对于有需要处理医嘱的患者人数进行动态醒目的提醒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209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基于床位的快捷操作</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患者首次分床时可给患者分配主管医生和管床护士。治疗过程中，在患者基本信息界面也可更换主管医生和管床护士。可对患者进行入院分床、患者床位更换、包床操作，支持患者腕带和床头卡的打印。处理完患者转科需关注医嘱后，可直接在床位图选择患者进行转科操作。床位可直接对符合条件的患者进行出院操作。床位图提供患者腕带和床头卡的打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210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护士执行</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护士工作站必不可少的核心模块，护士对患者的治疗绝大部分都是围绕护士执行展开的。护士执行能够根据各种不同查询条件(如频次，用法，接受科室，标本类型，医嘱状态等)快速的检索一个或过个患者的医嘱，并进行各种打印，执行，采血等操作。包括：医嘱查询、医嘱处理、医嘱执行、皮试执行、瓶签打印、检验条码打印、执行单打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211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领药审核</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护士对患者的药品类医嘱进行再次审核并发送给医嘱对应的药房，为药房给病区发药提供依据。具体功能包括：药品查询、药品审核、撤销审核。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212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生命体征</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可对患者体温、脉搏、呼吸、血压、体重、尿量、引流量、出入量、大便、身高等项目进行填写。生成打印体温单，展示患者生命体征记录趋势，为医生诊断，用药和护士治疗提供依据具体功能包括：单人生命体征、多人生命体征、事件登记、体温单预览打印、三测单打印、数据明细，生成图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213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医嘱单</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护士预览以及打印患者医嘱单。支持长期、临时医嘱单快捷切换。打印时支持打印记录的保存或者不保存，可删除已保存的打印记录。支持医嘱单的续打功能。支持将医嘱单导出到excel。支持选行打印，打印特定的行数，对于转科患者可设置医嘱单是否换页。打印格式可自定义，对特定医嘱(如手术、转科)给与特殊标识。可进行医嘱重整。为电子病历归档提供支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214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需关注</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当患者需要转科或者出院时，需要对患者当前的医嘱，治疗等进行阶段性的完成或结束，如果患者有未完成的治疗，未停止的医嘱或未计算的费用。用会造成很多不必要的麻烦。需关注模块就是为了避免这些问题而设计的。具体功能包括：需处理情况查询，需处理情况处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215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标本运送</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标本采集之后，必须由医务人员立即送往检验科；标本运送页面记录采集标本的状态，对标本的位置及状态进行实时追踪。标本运送确保了对检验标本的实时追踪，对当前人和当前位置进行记录。大大降低了标本丢失的概率。同时由医院专人进行标本的批量交接，不仅增加了标本的检验效率也可以更专业的保存和运送标本避免标本污染等问题。具体功能包括：运送单、添加标本、交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216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更新采血时间</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可通过更新采血时间界面对患者标本的采集时间进行更新。具体功能包括：通过输入标本的检验号后点回车或者扫描检验条码即可对标本的采集时间进行更新。如检验标本已接收，则不予许更新采血时间，提示”采血时间更新失败：标本已接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217</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出院召回</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病人出院后，病情反复，需要继续入院治疗时，可办理召回操作。通过患者查询查询已出院的患者，选中进入出院召回菜单，输入密码召回。召回的病人，在等候区显示，护士需重新为其分配床位。患者再出院时，出院时间会改变。出院召回避免了一出院患者短时间内再次入院需要办理负责入院流程的问题。节省大量手续，降低医护工作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218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费用调整</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患者出院后发现费用差错，需要调整，通过出院费用调整来完成。这时系统不会改变出院时间。查询并选择已经出院的患者，进入费用调整界面，输入密码确认后患者进入费用调整状态。费用调整状态的病人，医生和护士均可录入医嘱，但医嘱的开始时间默认取出院时间且不可更改。选择费用调整状态的病人，进入界面，输入密码确认后结束患者本次的费用调整状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219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病区床位管理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通过病区床位管理可以对病区床位进行锁定，状态改变，性别限制等操作。可以有效地管理病区床位，提高病区床位的利用率。床位状态主要有空床、占用、锁定、包床、消毒、已预约六种。床位性别有男床、女床、不限三种，其中有性别要求的，分床时只能分配相应性别的患者；不限的可随意分配。加强了医院床位管理及合理使用，满足患者住院需求，提高了床位使用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220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分娩管理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对孕妇分娩进行登记，记录孕妇分娩的产程记录，对分娩的婴儿进行登记，查询统计等操作。具体功能包括：分娩登记，分娩记录，报产查询，产程图。分娩管理系统对产妇从分娩登记到婴儿成功娩出的生产过程进行全程记录，这些记录为后续的护理治疗提供依据。系统中娩出婴儿自动与母亲关联，详实登记婴儿的信息，便于护士对婴儿进行管理。系统根据记录生成产程图，支持医护人员更直观的查看产程，同时也为病历归档提供依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221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费用管理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包括：费用录入(材料费，治疗费)、医嘱费用查询、病区日清明细、患者科室费用查询、押金存款单、患者费用核查。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222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统计查询</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查询统计模块为护士提供了强大的查询和统计功能。涉及各个方面，如患者，费用，药品，手术，住院证等。为护士做数据核对，数据总结，护理方案改进提供了依据。具体功能包括：患者查询、出院患者查询、住院证查询、退药申请单查询、退药查询、配液拒绝查询、手术列表查询。</w:t>
                  </w:r>
                  <w:r>
                    <w:br w:type="textWrapping"/>
                  </w:r>
                  <w:r>
                    <w:rPr>
                      <w:color w:val="000000"/>
                      <w:sz w:val="22"/>
                    </w:rPr>
                    <w:t>住院护士工作站系统减轻了护士大量繁琐的事务性工作，把护士还给了病人，提高了医院的医护质量。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223</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住院静配中心系统</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配液审核</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使用系统自带知识库进行药品用药说明及配伍等数据的自定义，也可以同时调用第三方合理用药实现药师对医生医嘱进行配伍禁忌、超量等数据分析，提供TPN指标、合理用药辅助分析，可一目了然的看到患者用药的具体信息、诊断信息、过敏史、电子病历、检查、检验等信息，并能够对该医嘱进行审核相关操作，并在线通知医生。审核时可参考病人全天所有医嘱，不局限于当前医嘱。</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224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配液排批</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实现对医嘱数据的一键分批，根据数据维护中的排批规则定义的内容，对当前查询到的数据系统直接进行预分批，辅助药师合理分批，均衡药师工作量，提高病人用药的及时性以及准确性。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225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配液打签</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对配液排批后的数据进行汇总显示，将排批后医嘱进行规则排序，系统给与多种排序选择，配液打签可以按类型批量打印实现高速打印。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226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配液分签</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此流程为可选流程，按打签顺序进行分签操作，既可以用PDA,也可以用扫码枪扫描记录分签时间和分签操作人员，记录配液状态和工作量信息。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227</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配液排药</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此流程为可选流程，可以使用PDA按排药单按药品货位顺序实现扫码下架，也可以直接打印排药单，按排药单排药，记录排药时间和排药人。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228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贴签</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此流程为可选流程，可以使用PDA或扫码枪进行扫码，记录贴签时间和贴签操作人，实现配液状态和工作量的标识。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229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排药核对</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排药完成后进行药品的核对操作，此流程可以人工核对，可以PDA或者扫码枪扫描标签进行核对，核对过程可以实时判断医嘱状态，并可声音及文字提醒是否可以继续进行操作。扫描时自动记录操作人及操作时间，记录配液状态和工作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230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舱内配置</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舱内可以用PDA或者平板+扫码枪实现舱内实时扫描，实时判断医嘱状态，不可配的医嘱以文字、图标、语音方式提醒，避免医生停止医嘱的情况进行药品混合，同时在此过程进行减库存及患者医嘱记账，省去了退药退费的操作。</w:t>
                  </w:r>
                  <w:r>
                    <w:br w:type="textWrapping"/>
                  </w:r>
                  <w:r>
                    <w:rPr>
                      <w:color w:val="000000"/>
                      <w:sz w:val="22"/>
                    </w:rPr>
                    <w:t>可按用法等绑定配置费用或者材料费用，减库同时关联该费用，退药时可同时退掉该费用。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231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出舱复核</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液体混合完成出舱后，使用PDA或者扫码枪进行扫码复核操作，确认药品混合的正确性。扫码同时记录复核操作人和操作时间，更新配液状态并记录工作量。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232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装箱</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对复核完成的输液袋，根据所属病区进行分拣并装箱，可以使用PDA或者扫码枪扫码操作。扫码时可以语音提醒输液所属病区，指导放在正确的病区。此流程可以与出舱复核流程合并。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233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扫码送货</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对按病区装箱完成的输液，使用PDA或者扫码枪实现配液中心与物流工人的扫码交接，记录交接时间和双方交接人。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234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病区接收</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物流人员送药到病区后，病区护士使用扫码枪或者PDA进行扫码接收，记录接收时间和接收护士。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235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病区核对</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护士在接收完成后，使用PDA或扫码枪扫描物流箱条码和输液袋条码进行药品核对，确认是否本病区药品，是否需要紧急执行，是否有遗漏等。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236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配液大屏显示</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通过大屏，实时滚动显示各病区各配液状态的袋数，对袋数有差异的进行颜色显著提醒。随时掌握配液情况，调整配液计划，避免某个业务流程有输液袋被漏掉或者不及时的风险。</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237</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查询统计</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提供按医嘱时间、按病区，按医嘱，按患者等配液单及医嘱配液状态查询，可以查询停止的输液医嘱。可以按病区、按批次的配液数量统计。可以进行医嘱合理性及不合理原因的统计。</w:t>
                  </w:r>
                  <w:r>
                    <w:br w:type="textWrapping"/>
                  </w:r>
                  <w:r>
                    <w:rPr>
                      <w:color w:val="000000"/>
                      <w:sz w:val="22"/>
                    </w:rPr>
                    <w:t>住院配液中心系统实现配液的全过程记录，全程条码管理，全程可追溯，保证了患者及时安全的用药，提高护理效率，减轻了护理工作量。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238</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住院准备中心系统</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开住院证</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系统支持全院床位资源共享。对于需要住院的病人，门诊医生开立住院</w:t>
                  </w:r>
                  <w:r>
                    <w:br w:type="textWrapping"/>
                  </w:r>
                  <w:r>
                    <w:rPr>
                      <w:color w:val="000000"/>
                      <w:sz w:val="22"/>
                    </w:rPr>
                    <w:t>证，开立住院证时可以选择本病区、其他允许病区或者无收治限制，床管中心可以根据医生的要求为患者预约本病区或其他病区的床位。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239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预约登记</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系统可以按院区/病区定义是否启用床位预约功能，对于开启了床位预约的病区，医生开住院证后，病人需先到床管中心进行登记排队。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240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预约管理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床管中心人员可以在预约管理界面为病人预约床位，系统支持根据病人病情进行排序，以便重症患者能优先安排床位。</w:t>
                  </w:r>
                  <w:r>
                    <w:br w:type="textWrapping"/>
                  </w:r>
                  <w:r>
                    <w:rPr>
                      <w:color w:val="000000"/>
                      <w:sz w:val="22"/>
                    </w:rPr>
                    <w:t>预约病区显示的是可以预约的病区，具体显示参照医生“本科室病区”、“其他允许病区”、“无收治限制”的勾选。即医生勾选了“本科室病区”,预约病区只能选择本科室对应的病区，勾选了“其他允许病区”,则预约病区只能选择后台维护的其他允许病区，勾选“无限制”则可以选择任意病区；如登记时选择了预约病区，预约管理界面只能显示登记时的预约病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241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住院登记</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预约到床位后，床管中心通知病人指定日期来院，来院后需要进行住院登记。</w:t>
                  </w:r>
                  <w:r>
                    <w:br w:type="textWrapping"/>
                  </w:r>
                  <w:r>
                    <w:rPr>
                      <w:color w:val="000000"/>
                      <w:sz w:val="22"/>
                    </w:rPr>
                    <w:t>住院登记界面进行了控制，如医院启用了床位预约但患者未预约到床位，系统会进行提示与控制。</w:t>
                  </w:r>
                  <w:r>
                    <w:br w:type="textWrapping"/>
                  </w:r>
                  <w:r>
                    <w:rPr>
                      <w:color w:val="000000"/>
                      <w:sz w:val="22"/>
                    </w:rPr>
                    <w:t>如病人为急诊患者需要紧急入院，可以选择取消，不用住院证办理住院，系统不会进行预约床位的判断与控制。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242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病区分配床位</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住院登记后患者会出现在预约病区的等候区，且患者名称后面有分床按钮，点击分床按钮，会将预住院患者分配至预约的床位上。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243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病区床位管理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病区床位管理可以实现护士对本病区床位的管理，包括锁定、释放等。系统中床位状态有空床、占用、锁定、包床、消毒、已预约六种。</w:t>
                  </w:r>
                  <w:r>
                    <w:br w:type="textWrapping"/>
                  </w:r>
                  <w:r>
                    <w:rPr>
                      <w:color w:val="000000"/>
                      <w:sz w:val="22"/>
                    </w:rPr>
                    <w:t>床位性别有男床、女床、不限三种，其中有性别要求的，在预约床位时只能对应性别的才可预约。住院护士在进行分床时也只能分配相应性别的患者至该床。床位性别不限的可随意分配，不控制患者性别。</w:t>
                  </w:r>
                  <w:r>
                    <w:br w:type="textWrapping"/>
                  </w:r>
                  <w:r>
                    <w:rPr>
                      <w:color w:val="000000"/>
                      <w:sz w:val="22"/>
                    </w:rPr>
                    <w:t>锁定和解锁有在床位图和病区床位管理界面均可操作，只有空床状态的床位可以进行锁定操作，锁定的床位不能被床管中心预约。</w:t>
                  </w:r>
                  <w:r>
                    <w:br w:type="textWrapping"/>
                  </w:r>
                  <w:r>
                    <w:rPr>
                      <w:color w:val="000000"/>
                      <w:sz w:val="22"/>
                    </w:rPr>
                    <w:t>对于占用状态的床位，可以做释放的操作，床位释放后，预住院中心可进行预约。对于已经释放的床位，因实际问题需要取消释放的，将释放的床位收回。</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244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医嘱释放床位</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系统支持医生开立出院/死亡医嘱时自动释放床位，不需要护士再手工释放。撤销/作废出院/死亡医嘱时如床位未被预约可以收回被释放的床位。</w:t>
                  </w:r>
                  <w:r>
                    <w:br w:type="textWrapping"/>
                  </w:r>
                  <w:r>
                    <w:rPr>
                      <w:color w:val="000000"/>
                      <w:sz w:val="22"/>
                    </w:rPr>
                    <w:t>床管中心能将全院床位集中管理，解决病区私自留床等现象，结合跨病区收治功能能实现全院病区床位共享，能有效提高床位利用率，进而提高医院收益。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245</w:t>
                  </w:r>
                </w:p>
              </w:tc>
              <w:tc>
                <w:tcPr>
                  <w:tcW w:w="46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药品管理</w:t>
                  </w: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门急诊药房管理系统</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配药</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患者交费可以自动打印配药单，或者患者在自助机报到时自动打印配药单，也可以由发药人刷工牌打印配药单，或选择处方打印配药单，配药人员根据配药进行配药。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246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发药</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用户选择对应的窗口号进入发药窗口后，设定检索日期段、病人的登记号或者卡号后，打印配药单，或刷卡后检索患者处方列表信息，选择处方进行发药。可完成后台自动打印发药单并提供补打功能。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247</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退药申请</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在处方发药后，因为患者原因或者因为处方错误等原因，由患者向医生申请后，医生发起处方的退药申请。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248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退药</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输入患者的登记号或收据号后，选择患者的收费记录信息，系统查询出该收费的药品信息，对其进行退药操作，用户可以进行整体或部分退药。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249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发药查询</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查询出整个药房或单个患者在一段时间内的发药信息，当输入登记号时，系统查出的结果为单个患者的信息，否则为整个药房的发药信息。发药时自动按药品批次减库存，记录库存台账。当要对某种药品进行单据跟踪查询时，要输入该药品，系统就检索到药房在一段时间内的包含该药品的发药单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250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退药查询</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对一段时间内的退药信息进行查询，可以按照退药单据查询，也可以统计出所退药品的汇总。</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251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工作量统计</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药房小组管理人员统计整个药房的发药和配药人员的工作量，统计过程中，可以选择统计模式，有“按窗口统计”和“按人员统计”等模式，统计的内容中，有每个药房人员的配药人次和发药人次，以及配药量和发药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252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日消耗查询</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查询出药房在一段时间的消耗情况，也可以在查询条件中输入药品，查询出单个药品的消耗情况。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253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发药统计</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如果药房的日报生成完毕时，根据每天的日报信息来生成药房的月报，如果该月的月报已生成时，可以重新生成确认。</w:t>
                  </w:r>
                  <w:r>
                    <w:br w:type="textWrapping"/>
                  </w:r>
                  <w:r>
                    <w:rPr>
                      <w:color w:val="000000"/>
                      <w:sz w:val="22"/>
                    </w:rPr>
                    <w:t>门急诊中西药房系统加快了发药的速度，加强了药房对药品的批次库存管理，有效期管理，保证患者的安全及时用药。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254</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住院药房管理系统</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配药</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配药人员拿到发药单后，按货位顺序逐个进行药品的配药，配药过程要核对药品的名称、批次等信息，可在系统中完成配药确认，记录配药人员工作量。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255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发药</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操作人员按日期检索出待发药的病区和需发药的药品类别，选择病区和发药类别后检索对应的待发药医嘱，可以全部或部分选择发药并打印发药单，发药时按有效期规则减当前药品批次库存。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256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退药申请</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病区护士根据医生要求的医嘱停止情况及患者情况，对需要退药的药品医嘱进行退药申请，退药申请后再由药房人员进行退药。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257</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退药</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住院药房根据病区建的退药申请单，在核对护士的退药实物后进行退药操作，</w:t>
                  </w:r>
                  <w:r>
                    <w:br w:type="textWrapping"/>
                  </w:r>
                  <w:r>
                    <w:rPr>
                      <w:color w:val="000000"/>
                      <w:sz w:val="22"/>
                    </w:rPr>
                    <w:t>退药时要核对药品的名称和批次、数量等信息，退药完成后系统中增加药房的库存。退药也可以在发药时根据病区发药品种自动冲抵退药。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258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发药查询</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可以按病区、发药类别、药品名称、患者登记号等查询出药房在一段时间内的发药信息。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259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退药查询</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对一段时间内的退药信息进行查询，可以按照退药单据查询，也可以统计出所退药品的汇总。</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260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综合查询</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输入查询条件后，查询当前的未发药品或已发药品信息，可以按药品汇总数量，选择药品可以查看药品的发药医嘱明细。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261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药房工作量</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药房小组管理人员统计整个药房的发药和配药人员的工作量，统计过程中，统计的内容中有每个药房人员的配药人次和发药人次，以及配药量和发药量。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262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发药统计</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查询出药房在一段时间的药品消耗情况，可以查询全院药品发退药数量汇总，也可以查询某个病区药品发退药品种及数量。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263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月报</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按财务要求生成每个月的月报，月报生成时间可以根据实际业务需要，随时可以生成，对有问题的月报也可以重新生成。日报生成后，可以查询一段时间内的日报情况，按照财务要求的月报表格式输出打印报表。</w:t>
                  </w:r>
                  <w:r>
                    <w:br w:type="textWrapping"/>
                  </w:r>
                  <w:r>
                    <w:rPr>
                      <w:color w:val="000000"/>
                      <w:sz w:val="22"/>
                    </w:rPr>
                    <w:t>住院中心药房系统规范了发药流程，加强了药品的批次管理、库存管理和有效期管理，确保了药物医嘱执行的准确性，提高了患者药物使用安全性。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264</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药库管理系统</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药品信息维护</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维护药品的基础字典信息，用于临床开药品医嘱、护士执行医嘱、药房发药、药品医嘱收费、医保报销等药品基础数据维护。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265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调价</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因政策原因或者采购价格变化等原因对药品进行价格的调整管理，可以由审核人审核调价信息，可以按约定生效日期自动生效。</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266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入库</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以批次管理为模式，对药品的入库(可以实现扫码入库)管理，入库时记录入库采购的供应企业、发票信息、药品品种、数量、批号有效期等信息，入库时生成系统的药品批次和库存。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267</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出库</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根据药房或者临床科室的请领单信息，进行药品的出库管理，出库是按照药品批次进行减库存。也可以由药库手工建出库单，审核人员审核出库后完成药库的出库，接收科室验货后进行转移入库审核。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268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报损</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因药品过期、破损等原因需要进行统一报损，由药库人员按照药品品种、报损数量、报损批次进行报损管理，报损后减药品库存。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269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盘点</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在月底或者季度末、年末，药库进行药品的盘点，比对药品的系统账面数和实物数量，按实物数量调整药品的库存到账面，生成盘点的盈亏损益报表。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w:t>
                  </w: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270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多库房管理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68"/>
                    <w:jc w:val="left"/>
                  </w:pPr>
                  <w:r>
                    <w:rPr>
                      <w:color w:val="000000"/>
                      <w:sz w:val="22"/>
                    </w:rPr>
                    <w:t>▲支持设置多个药品库房，以及自定义药品在库房之间的流向，可自定义药库，药房等各级包装单位及其换算关系。(投标人提供功能截图证明或重点功能响应承诺函(格式自拟)并加盖投标人公章)</w:t>
                  </w:r>
                </w:p>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271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有效期管理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对长时间不用的药品定义为呆滞药品，统计出呆滞药品后可以进行相应的退货处理。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272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呆滞管理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按日期段、按供应商、按药品各种分类、按药品品种等汇总药品的采购入库和退药等情况，可用于财务报表的统计、医院领导需要查看的报表等等。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273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动销管理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按日期段、按供应商、按药品各种分类、按药品品种等汇总药品的采购入库和退药等情况，可用于财务报表的统计、医院领导需要查看的报表等等。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274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入库统计</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按日期段、按接收科室、按药品各种分类、按药品品种等汇总药品的出库情况，用以医院领导常用的查看报表、财务上报的报表等。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275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出库统计</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按财务要求生成每个月的月报，月报生成时间可以根据实际业务需要，随时可以生成，对有问题的月报也可以重新生成。日报生成后，可以查询一段时间内的日报情况，按照财务要求的月报表格式输出打印报表。</w:t>
                  </w:r>
                  <w:r>
                    <w:br w:type="textWrapping"/>
                  </w:r>
                  <w:r>
                    <w:rPr>
                      <w:color w:val="000000"/>
                      <w:sz w:val="22"/>
                    </w:rPr>
                    <w:t>使用药库管理系统，提高医院药品的库存周转率，降低医院的资金成本，提高药品的采购效率，保证药品的临床库存应用，保证药品的质量安全，实现全流程的药品台账跟踪。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276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月报管理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按财务要求生成每个月的月报，月报生成时间可以根据实际业务需要，随时可以生成，对有问题的月报也可以重新生成。日报生成后，可以查询一段时间内的日报情况，按照财务要求的月报表格式输出打印报表。</w:t>
                  </w:r>
                  <w:r>
                    <w:br w:type="textWrapping"/>
                  </w:r>
                  <w:r>
                    <w:rPr>
                      <w:color w:val="000000"/>
                      <w:sz w:val="22"/>
                    </w:rPr>
                    <w:t>使用药库管理系统，提高医院药品的库存周转率，降低医院的资金成本，提高药品的采购效率，保证药品的临床库存应用，保证药品的质量安全，实现全流程的药品台账跟踪。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277</w:t>
                  </w:r>
                </w:p>
              </w:tc>
              <w:tc>
                <w:tcPr>
                  <w:tcW w:w="46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电子病历</w:t>
                  </w:r>
                </w:p>
              </w:tc>
              <w:tc>
                <w:tcPr>
                  <w:tcW w:w="150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门(急)诊病历编辑</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编辑器是电子病历的文字模板录入控件，它的是一个功能强大的文本编辑器，可以在文本中嵌入基本单元，使关键的信息得到标记、便于分析查询。</w:t>
                  </w:r>
                  <w:r>
                    <w:br w:type="textWrapping"/>
                  </w:r>
                  <w:r>
                    <w:rPr>
                      <w:color w:val="000000"/>
                      <w:sz w:val="22"/>
                    </w:rPr>
                    <w:t>主要功能如下：</w:t>
                  </w:r>
                  <w:r>
                    <w:br w:type="textWrapping"/>
                  </w:r>
                  <w:r>
                    <w:rPr>
                      <w:color w:val="000000"/>
                      <w:sz w:val="22"/>
                    </w:rPr>
                    <w:t>1)可以通过拖拽基本单元生成文本片段单元</w:t>
                  </w:r>
                  <w:r>
                    <w:br w:type="textWrapping"/>
                  </w:r>
                  <w:r>
                    <w:rPr>
                      <w:color w:val="000000"/>
                      <w:sz w:val="22"/>
                    </w:rPr>
                    <w:t>2)基本单元支持文本型、数字型、选择型、多选型、数量型、字典型、日期型；</w:t>
                  </w:r>
                  <w:r>
                    <w:br w:type="textWrapping"/>
                  </w:r>
                  <w:r>
                    <w:rPr>
                      <w:color w:val="000000"/>
                      <w:sz w:val="22"/>
                    </w:rPr>
                    <w:t>3)可以通过对话框选择选择型单元和字典型单元内容，提高录入速度；</w:t>
                  </w:r>
                  <w:r>
                    <w:br w:type="textWrapping"/>
                  </w:r>
                  <w:r>
                    <w:rPr>
                      <w:color w:val="000000"/>
                      <w:sz w:val="22"/>
                    </w:rPr>
                    <w:t>4)可以在基本单元和复合单元之间输入文本，组合成自然语句，使病历通畅易懂。同时也给病历输入提供了很大的自由度；</w:t>
                  </w:r>
                  <w:r>
                    <w:br w:type="textWrapping"/>
                  </w:r>
                  <w:r>
                    <w:rPr>
                      <w:color w:val="000000"/>
                      <w:sz w:val="22"/>
                    </w:rPr>
                    <w:t>5)可以通过Tab键，在基本单元之间跳转，方便输入；</w:t>
                  </w:r>
                  <w:r>
                    <w:br w:type="textWrapping"/>
                  </w:r>
                  <w:r>
                    <w:rPr>
                      <w:color w:val="000000"/>
                      <w:sz w:val="22"/>
                    </w:rPr>
                    <w:t>6)在录入时提供即时提示，方便录入；</w:t>
                  </w:r>
                  <w:r>
                    <w:br w:type="textWrapping"/>
                  </w:r>
                  <w:r>
                    <w:rPr>
                      <w:color w:val="000000"/>
                      <w:sz w:val="22"/>
                    </w:rPr>
                    <w:t>7)病历以XML方式存储，方便转换；</w:t>
                  </w:r>
                  <w:r>
                    <w:br w:type="textWrapping"/>
                  </w:r>
                  <w:r>
                    <w:rPr>
                      <w:color w:val="000000"/>
                      <w:sz w:val="22"/>
                    </w:rPr>
                    <w:t>8)支持撤销编辑和重作功能；</w:t>
                  </w:r>
                  <w:r>
                    <w:br w:type="textWrapping"/>
                  </w:r>
                  <w:r>
                    <w:rPr>
                      <w:color w:val="000000"/>
                      <w:sz w:val="22"/>
                    </w:rPr>
                    <w:t>9)支持字体上标、下标、黑体、斜体、粗体、字体、字号的设置；</w:t>
                  </w:r>
                  <w:r>
                    <w:br w:type="textWrapping"/>
                  </w:r>
                  <w:r>
                    <w:rPr>
                      <w:color w:val="000000"/>
                      <w:sz w:val="22"/>
                    </w:rPr>
                    <w:t>10)支持特殊字符的输入；</w:t>
                  </w:r>
                  <w:r>
                    <w:br w:type="textWrapping"/>
                  </w:r>
                  <w:r>
                    <w:rPr>
                      <w:color w:val="000000"/>
                      <w:sz w:val="22"/>
                    </w:rPr>
                    <w:t>11)支持病历的操作记录，可以记录病历的修改记录；</w:t>
                  </w:r>
                  <w:r>
                    <w:br w:type="textWrapping"/>
                  </w:r>
                  <w:r>
                    <w:rPr>
                      <w:color w:val="000000"/>
                      <w:sz w:val="22"/>
                    </w:rPr>
                    <w:t>12)支持嵌入其他页签中已经输入的单元，支持动态更新嵌入单元的内容。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278</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门(急)诊电子病历系统</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门(急)诊病历编辑</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病历创建:提供患者就诊后，医师可以创建患者的病历记录的功能。</w:t>
                  </w:r>
                  <w:r>
                    <w:br w:type="textWrapping"/>
                  </w:r>
                  <w:r>
                    <w:rPr>
                      <w:color w:val="000000"/>
                      <w:sz w:val="22"/>
                    </w:rPr>
                    <w:t>病历编辑:提供门(急)诊医师创建病历后，可以书写、保存病历的功能。</w:t>
                  </w:r>
                  <w:r>
                    <w:br w:type="textWrapping"/>
                  </w:r>
                  <w:r>
                    <w:rPr>
                      <w:color w:val="000000"/>
                      <w:sz w:val="22"/>
                    </w:rPr>
                    <w:t>病历签名:提供病历书写完成后，医师可以签名，签名可以配置宋体或图片的功能。</w:t>
                  </w:r>
                  <w:r>
                    <w:br w:type="textWrapping"/>
                  </w:r>
                  <w:r>
                    <w:rPr>
                      <w:color w:val="000000"/>
                      <w:sz w:val="22"/>
                    </w:rPr>
                    <w:t>病历打印:提供门诊医师可将签名后的病历打印出来的功能。</w:t>
                  </w:r>
                  <w:r>
                    <w:br w:type="textWrapping"/>
                  </w:r>
                  <w:r>
                    <w:rPr>
                      <w:color w:val="000000"/>
                      <w:sz w:val="22"/>
                    </w:rPr>
                    <w:t>病历删除:提供门诊医师可以删除保存过的有问题病历的功能。</w:t>
                  </w:r>
                  <w:r>
                    <w:br w:type="textWrapping"/>
                  </w:r>
                  <w:r>
                    <w:rPr>
                      <w:color w:val="000000"/>
                      <w:sz w:val="22"/>
                    </w:rPr>
                    <w:t>病历数据绑定:提供门诊医师在创建患者病历时，引用该患者的基本信息数据的功能。</w:t>
                  </w:r>
                  <w:r>
                    <w:br w:type="textWrapping"/>
                  </w:r>
                  <w:r>
                    <w:rPr>
                      <w:color w:val="000000"/>
                      <w:sz w:val="22"/>
                    </w:rPr>
                    <w:t>病历引用:提供门诊医师可以引用患者历次就诊的病历的功能。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279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病历模板库管理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病历目录管理:</w:t>
                  </w:r>
                  <w:r>
                    <w:br w:type="textWrapping"/>
                  </w:r>
                  <w:r>
                    <w:rPr>
                      <w:color w:val="000000"/>
                      <w:sz w:val="22"/>
                    </w:rPr>
                    <w:t>提供按照电子病历基本架构标准管理的标准病历目录数据的功能。</w:t>
                  </w:r>
                  <w:r>
                    <w:br w:type="textWrapping"/>
                  </w:r>
                  <w:r>
                    <w:rPr>
                      <w:color w:val="000000"/>
                      <w:sz w:val="22"/>
                    </w:rPr>
                    <w:t>病历模板管理:</w:t>
                  </w:r>
                  <w:r>
                    <w:br w:type="textWrapping"/>
                  </w:r>
                  <w:r>
                    <w:rPr>
                      <w:color w:val="000000"/>
                      <w:sz w:val="22"/>
                    </w:rPr>
                    <w:t>提供实施工程师、高级用户对病历模板进行维护管理的功能。</w:t>
                  </w:r>
                  <w:r>
                    <w:br w:type="textWrapping"/>
                  </w:r>
                  <w:r>
                    <w:rPr>
                      <w:color w:val="000000"/>
                      <w:sz w:val="22"/>
                    </w:rPr>
                    <w:t>病历知识库模板管理:</w:t>
                  </w:r>
                  <w:r>
                    <w:br w:type="textWrapping"/>
                  </w:r>
                  <w:r>
                    <w:rPr>
                      <w:color w:val="000000"/>
                      <w:sz w:val="22"/>
                    </w:rPr>
                    <w:t>提供高级用户对知识库进行维护管理的功能。</w:t>
                  </w:r>
                  <w:r>
                    <w:br w:type="textWrapping"/>
                  </w:r>
                  <w:r>
                    <w:rPr>
                      <w:color w:val="000000"/>
                      <w:sz w:val="22"/>
                    </w:rPr>
                    <w:t>病历模板版本管理:</w:t>
                  </w:r>
                  <w:r>
                    <w:br w:type="textWrapping"/>
                  </w:r>
                  <w:r>
                    <w:rPr>
                      <w:color w:val="000000"/>
                      <w:sz w:val="22"/>
                    </w:rPr>
                    <w:t>提供高级用户修改模板，得到医务科确认后发布版本的功能。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280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系统配置管理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基础字典管理:</w:t>
                  </w:r>
                  <w:r>
                    <w:br w:type="textWrapping"/>
                  </w:r>
                  <w:r>
                    <w:rPr>
                      <w:color w:val="000000"/>
                      <w:sz w:val="22"/>
                    </w:rPr>
                    <w:t>提供项目实施通过基础字典管理新增、修改字典显示的HIS系统数据的功能。</w:t>
                  </w:r>
                  <w:r>
                    <w:br w:type="textWrapping"/>
                  </w:r>
                  <w:r>
                    <w:rPr>
                      <w:color w:val="000000"/>
                      <w:sz w:val="22"/>
                    </w:rPr>
                    <w:t>数据引用管理:</w:t>
                  </w:r>
                  <w:r>
                    <w:br w:type="textWrapping"/>
                  </w:r>
                  <w:r>
                    <w:rPr>
                      <w:color w:val="000000"/>
                      <w:sz w:val="22"/>
                    </w:rPr>
                    <w:t>提供系统实施维护病历结构化单元需要引用的患者基本信息、医嘱信息、诊断信息、费用信息的功能。</w:t>
                  </w:r>
                  <w:r>
                    <w:br w:type="textWrapping"/>
                  </w:r>
                  <w:r>
                    <w:rPr>
                      <w:color w:val="000000"/>
                      <w:sz w:val="22"/>
                    </w:rPr>
                    <w:t>病种管理:</w:t>
                  </w:r>
                  <w:r>
                    <w:br w:type="textWrapping"/>
                  </w:r>
                  <w:r>
                    <w:rPr>
                      <w:color w:val="000000"/>
                      <w:sz w:val="22"/>
                    </w:rPr>
                    <w:t>提供高级用户维护病种以及病种与科室、icd疾病、知识库之间的关联的功能。</w:t>
                  </w:r>
                  <w:r>
                    <w:br w:type="textWrapping"/>
                  </w:r>
                  <w:r>
                    <w:rPr>
                      <w:color w:val="000000"/>
                      <w:sz w:val="22"/>
                    </w:rPr>
                    <w:t>图库管理:</w:t>
                  </w:r>
                  <w:r>
                    <w:br w:type="textWrapping"/>
                  </w:r>
                  <w:r>
                    <w:rPr>
                      <w:color w:val="000000"/>
                      <w:sz w:val="22"/>
                    </w:rPr>
                    <w:t>提供高级用户维护图库的功能。</w:t>
                  </w:r>
                  <w:r>
                    <w:br w:type="textWrapping"/>
                  </w:r>
                  <w:r>
                    <w:rPr>
                      <w:color w:val="000000"/>
                      <w:sz w:val="22"/>
                    </w:rPr>
                    <w:t>病历导航目录管理:</w:t>
                  </w:r>
                  <w:r>
                    <w:br w:type="textWrapping"/>
                  </w:r>
                  <w:r>
                    <w:rPr>
                      <w:color w:val="000000"/>
                      <w:sz w:val="22"/>
                    </w:rPr>
                    <w:t>提供高级用户维护显示在临床医师书写界面的病历目录的功能。</w:t>
                  </w:r>
                  <w:r>
                    <w:br w:type="textWrapping"/>
                  </w:r>
                  <w:r>
                    <w:rPr>
                      <w:color w:val="000000"/>
                      <w:sz w:val="22"/>
                    </w:rPr>
                    <w:t>系统参数管理:</w:t>
                  </w:r>
                  <w:r>
                    <w:br w:type="textWrapping"/>
                  </w:r>
                  <w:r>
                    <w:rPr>
                      <w:color w:val="000000"/>
                      <w:sz w:val="22"/>
                    </w:rPr>
                    <w:t>提供系统参数配置用户各项个性化需求的功能。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281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病历权限管理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操作权限管理:</w:t>
                  </w:r>
                  <w:r>
                    <w:br w:type="textWrapping"/>
                  </w:r>
                  <w:r>
                    <w:rPr>
                      <w:color w:val="000000"/>
                      <w:sz w:val="22"/>
                    </w:rPr>
                    <w:t>提供高级用户根据医务科的管理规定，用脚本对病历的操作进行权限管理的功能。</w:t>
                  </w:r>
                  <w:r>
                    <w:br w:type="textWrapping"/>
                  </w:r>
                  <w:r>
                    <w:rPr>
                      <w:color w:val="000000"/>
                      <w:sz w:val="22"/>
                    </w:rPr>
                    <w:t>浏览权限管理:</w:t>
                  </w:r>
                  <w:r>
                    <w:br w:type="textWrapping"/>
                  </w:r>
                  <w:r>
                    <w:rPr>
                      <w:color w:val="000000"/>
                      <w:sz w:val="22"/>
                    </w:rPr>
                    <w:t>提供高级用户根据医务科的管理规定，用脚本对病历的浏览进行权限管理的功能。</w:t>
                  </w:r>
                  <w:r>
                    <w:br w:type="textWrapping"/>
                  </w:r>
                  <w:r>
                    <w:rPr>
                      <w:color w:val="000000"/>
                      <w:sz w:val="22"/>
                    </w:rPr>
                    <w:t>加载权限管理:</w:t>
                  </w:r>
                  <w:r>
                    <w:br w:type="textWrapping"/>
                  </w:r>
                  <w:r>
                    <w:rPr>
                      <w:color w:val="000000"/>
                      <w:sz w:val="22"/>
                    </w:rPr>
                    <w:t>提供高级用户根据医务科的管理规定，用脚本对病历的加载进行权限管理的功能。</w:t>
                  </w:r>
                  <w:r>
                    <w:br w:type="textWrapping"/>
                  </w:r>
                  <w:r>
                    <w:rPr>
                      <w:color w:val="000000"/>
                      <w:sz w:val="22"/>
                    </w:rPr>
                    <w:t>授权权限管理:</w:t>
                  </w:r>
                  <w:r>
                    <w:br w:type="textWrapping"/>
                  </w:r>
                  <w:r>
                    <w:rPr>
                      <w:color w:val="000000"/>
                      <w:sz w:val="22"/>
                    </w:rPr>
                    <w:t>提供高级用户根据医务科的管理规定，用脚本对病历的授权进行权限管理的功能。</w:t>
                  </w:r>
                  <w:r>
                    <w:br w:type="textWrapping"/>
                  </w:r>
                  <w:r>
                    <w:rPr>
                      <w:color w:val="000000"/>
                      <w:sz w:val="22"/>
                    </w:rPr>
                    <w:t>创建权限管理:</w:t>
                  </w:r>
                  <w:r>
                    <w:br w:type="textWrapping"/>
                  </w:r>
                  <w:r>
                    <w:rPr>
                      <w:color w:val="000000"/>
                      <w:sz w:val="22"/>
                    </w:rPr>
                    <w:t>提供高级用户根据医务科的管理规定，用脚本对病历的创建进行权限管理的功能。</w:t>
                  </w:r>
                  <w:r>
                    <w:br w:type="textWrapping"/>
                  </w:r>
                  <w:r>
                    <w:rPr>
                      <w:color w:val="000000"/>
                      <w:sz w:val="22"/>
                    </w:rPr>
                    <w:t>诊断证明书审核:</w:t>
                  </w:r>
                  <w:r>
                    <w:br w:type="textWrapping"/>
                  </w:r>
                  <w:r>
                    <w:rPr>
                      <w:color w:val="000000"/>
                      <w:sz w:val="22"/>
                    </w:rPr>
                    <w:t>提供门诊医师对诊断证明书申请的审核功能。</w:t>
                  </w:r>
                  <w:r>
                    <w:br w:type="textWrapping"/>
                  </w:r>
                  <w:r>
                    <w:rPr>
                      <w:color w:val="000000"/>
                      <w:sz w:val="22"/>
                    </w:rPr>
                    <w:t>诊断证明书保存:</w:t>
                  </w:r>
                  <w:r>
                    <w:br w:type="textWrapping"/>
                  </w:r>
                  <w:r>
                    <w:rPr>
                      <w:color w:val="000000"/>
                      <w:sz w:val="22"/>
                    </w:rPr>
                    <w:t>提供门诊医师对诊断证明书创建、编辑、保存的功能。</w:t>
                  </w:r>
                  <w:r>
                    <w:br w:type="textWrapping"/>
                  </w:r>
                  <w:r>
                    <w:rPr>
                      <w:color w:val="000000"/>
                      <w:sz w:val="22"/>
                    </w:rPr>
                    <w:t>诊断证明书签名:</w:t>
                  </w:r>
                  <w:r>
                    <w:br w:type="textWrapping"/>
                  </w:r>
                  <w:r>
                    <w:rPr>
                      <w:color w:val="000000"/>
                      <w:sz w:val="22"/>
                    </w:rPr>
                    <w:t>提供门诊医师对诊断证明书签名的功能。</w:t>
                  </w:r>
                  <w:r>
                    <w:br w:type="textWrapping"/>
                  </w:r>
                  <w:r>
                    <w:rPr>
                      <w:color w:val="000000"/>
                      <w:sz w:val="22"/>
                    </w:rPr>
                    <w:t>门诊办公室审核:</w:t>
                  </w:r>
                  <w:r>
                    <w:br w:type="textWrapping"/>
                  </w:r>
                  <w:r>
                    <w:rPr>
                      <w:color w:val="000000"/>
                      <w:sz w:val="22"/>
                    </w:rPr>
                    <w:t>提供门诊办公室审核已签名的诊断证明书的功能。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282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自助机打印</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门(急)诊病历保存:</w:t>
                  </w:r>
                  <w:r>
                    <w:br w:type="textWrapping"/>
                  </w:r>
                  <w:r>
                    <w:rPr>
                      <w:color w:val="000000"/>
                      <w:sz w:val="22"/>
                    </w:rPr>
                    <w:t>提供门诊医师对门(急)诊病历创建、编辑、保存的功能。</w:t>
                  </w:r>
                  <w:r>
                    <w:br w:type="textWrapping"/>
                  </w:r>
                  <w:r>
                    <w:rPr>
                      <w:color w:val="000000"/>
                      <w:sz w:val="22"/>
                    </w:rPr>
                    <w:t>门(急)诊病历签名:</w:t>
                  </w:r>
                  <w:r>
                    <w:br w:type="textWrapping"/>
                  </w:r>
                  <w:r>
                    <w:rPr>
                      <w:color w:val="000000"/>
                      <w:sz w:val="22"/>
                    </w:rPr>
                    <w:t>提供门诊医师对门(急)诊病历签名的功能。</w:t>
                  </w:r>
                  <w:r>
                    <w:br w:type="textWrapping"/>
                  </w:r>
                  <w:r>
                    <w:rPr>
                      <w:color w:val="000000"/>
                      <w:sz w:val="22"/>
                    </w:rPr>
                    <w:t>自助机打印:</w:t>
                  </w:r>
                  <w:r>
                    <w:br w:type="textWrapping"/>
                  </w:r>
                  <w:r>
                    <w:rPr>
                      <w:color w:val="000000"/>
                      <w:sz w:val="22"/>
                    </w:rPr>
                    <w:t>提供自助机打印门(急)诊病历的功能。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283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门(急)诊病历补打</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门(急)诊病历保存:</w:t>
                  </w:r>
                  <w:r>
                    <w:br w:type="textWrapping"/>
                  </w:r>
                  <w:r>
                    <w:rPr>
                      <w:color w:val="000000"/>
                      <w:sz w:val="22"/>
                    </w:rPr>
                    <w:t>提供门诊医师对门(急)诊病历创建、编辑、保存的功能。</w:t>
                  </w:r>
                  <w:r>
                    <w:br w:type="textWrapping"/>
                  </w:r>
                  <w:r>
                    <w:rPr>
                      <w:color w:val="000000"/>
                      <w:sz w:val="22"/>
                    </w:rPr>
                    <w:t>门(急)诊病历签名:</w:t>
                  </w:r>
                  <w:r>
                    <w:br w:type="textWrapping"/>
                  </w:r>
                  <w:r>
                    <w:rPr>
                      <w:color w:val="000000"/>
                      <w:sz w:val="22"/>
                    </w:rPr>
                    <w:t>提供门诊医师对门(急)诊病历签名的功能。</w:t>
                  </w:r>
                  <w:r>
                    <w:br w:type="textWrapping"/>
                  </w:r>
                  <w:r>
                    <w:rPr>
                      <w:color w:val="000000"/>
                      <w:sz w:val="22"/>
                    </w:rPr>
                    <w:t>医师或者自助机打印:</w:t>
                  </w:r>
                  <w:r>
                    <w:br w:type="textWrapping"/>
                  </w:r>
                  <w:r>
                    <w:rPr>
                      <w:color w:val="000000"/>
                      <w:sz w:val="22"/>
                    </w:rPr>
                    <w:t>提供门诊医师或者自助机打印门(急)诊病历的功能。</w:t>
                  </w:r>
                  <w:r>
                    <w:br w:type="textWrapping"/>
                  </w:r>
                  <w:r>
                    <w:rPr>
                      <w:color w:val="000000"/>
                      <w:sz w:val="22"/>
                    </w:rPr>
                    <w:t>门(急)诊病历补打:</w:t>
                  </w:r>
                  <w:r>
                    <w:br w:type="textWrapping"/>
                  </w:r>
                  <w:r>
                    <w:rPr>
                      <w:color w:val="000000"/>
                      <w:sz w:val="22"/>
                    </w:rPr>
                    <w:t>提供门(急)诊护士补打门(急)诊病历的功能。</w:t>
                  </w:r>
                  <w:r>
                    <w:br w:type="textWrapping"/>
                  </w:r>
                  <w:r>
                    <w:rPr>
                      <w:color w:val="000000"/>
                      <w:sz w:val="22"/>
                    </w:rPr>
                    <w:t>门(急)诊电子病历，不仅从管理方面优化门诊流程，而且从临床方面实现了对门诊流程的优化，最大程度缩短病人等候时间，提高门诊医生工作效率，取得了显著的效果。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284</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住院电子病历系统</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病历模板库管理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病历目录管理:</w:t>
                  </w:r>
                  <w:r>
                    <w:br w:type="textWrapping"/>
                  </w:r>
                  <w:r>
                    <w:rPr>
                      <w:color w:val="000000"/>
                      <w:sz w:val="22"/>
                    </w:rPr>
                    <w:t>提供按照电子病历基本架构标准管理的标准病历目录数据的功能。</w:t>
                  </w:r>
                  <w:r>
                    <w:br w:type="textWrapping"/>
                  </w:r>
                  <w:r>
                    <w:rPr>
                      <w:color w:val="000000"/>
                      <w:sz w:val="22"/>
                    </w:rPr>
                    <w:t>病历模板管理:</w:t>
                  </w:r>
                  <w:r>
                    <w:br w:type="textWrapping"/>
                  </w:r>
                  <w:r>
                    <w:rPr>
                      <w:color w:val="000000"/>
                      <w:sz w:val="22"/>
                    </w:rPr>
                    <w:t>提供病历模板的定义、设计及模板版本管理等功能。</w:t>
                  </w:r>
                  <w:r>
                    <w:br w:type="textWrapping"/>
                  </w:r>
                  <w:r>
                    <w:rPr>
                      <w:color w:val="000000"/>
                      <w:sz w:val="22"/>
                    </w:rPr>
                    <w:t>病历模板标题管理:</w:t>
                  </w:r>
                  <w:r>
                    <w:br w:type="textWrapping"/>
                  </w:r>
                  <w:r>
                    <w:rPr>
                      <w:color w:val="000000"/>
                      <w:sz w:val="22"/>
                    </w:rPr>
                    <w:t>提供病历模板标题的定义和维护的管理功能。</w:t>
                  </w:r>
                  <w:r>
                    <w:br w:type="textWrapping"/>
                  </w:r>
                  <w:r>
                    <w:rPr>
                      <w:color w:val="000000"/>
                      <w:sz w:val="22"/>
                    </w:rPr>
                    <w:t>病历知识库模板管理:</w:t>
                  </w:r>
                  <w:r>
                    <w:br w:type="textWrapping"/>
                  </w:r>
                  <w:r>
                    <w:rPr>
                      <w:color w:val="000000"/>
                      <w:sz w:val="22"/>
                    </w:rPr>
                    <w:t>提供病历知识库模板的定义、维护及配置的管理功能。</w:t>
                  </w:r>
                  <w:r>
                    <w:br w:type="textWrapping"/>
                  </w:r>
                  <w:r>
                    <w:rPr>
                      <w:color w:val="000000"/>
                      <w:sz w:val="22"/>
                    </w:rPr>
                    <w:t>病历模板审核管理:</w:t>
                  </w:r>
                  <w:r>
                    <w:br w:type="textWrapping"/>
                  </w:r>
                  <w:r>
                    <w:rPr>
                      <w:color w:val="000000"/>
                      <w:sz w:val="22"/>
                    </w:rPr>
                    <w:t>提供病历模板的审核的管理功能。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285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住院病历编辑</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病历创建:</w:t>
                  </w:r>
                  <w:r>
                    <w:br w:type="textWrapping"/>
                  </w:r>
                  <w:r>
                    <w:rPr>
                      <w:color w:val="000000"/>
                      <w:sz w:val="22"/>
                    </w:rPr>
                    <w:t>提供医师创建病历文书的功能。</w:t>
                  </w:r>
                  <w:r>
                    <w:br w:type="textWrapping"/>
                  </w:r>
                  <w:r>
                    <w:rPr>
                      <w:color w:val="000000"/>
                      <w:sz w:val="22"/>
                    </w:rPr>
                    <w:t>病历编辑:</w:t>
                  </w:r>
                  <w:r>
                    <w:br w:type="textWrapping"/>
                  </w:r>
                  <w:r>
                    <w:rPr>
                      <w:color w:val="000000"/>
                      <w:sz w:val="22"/>
                    </w:rPr>
                    <w:t>提供病历书写、修改及保存的功能。</w:t>
                  </w:r>
                  <w:r>
                    <w:br w:type="textWrapping"/>
                  </w:r>
                  <w:r>
                    <w:rPr>
                      <w:color w:val="000000"/>
                      <w:sz w:val="22"/>
                    </w:rPr>
                    <w:t>病历签名:</w:t>
                  </w:r>
                  <w:r>
                    <w:br w:type="textWrapping"/>
                  </w:r>
                  <w:r>
                    <w:rPr>
                      <w:color w:val="000000"/>
                      <w:sz w:val="22"/>
                    </w:rPr>
                    <w:t>提供病历书写完成后，医师确认病历内容并签名的功能。签名可以是宋体文字签名，也可以是图片签名。</w:t>
                  </w:r>
                  <w:r>
                    <w:br w:type="textWrapping"/>
                  </w:r>
                  <w:r>
                    <w:rPr>
                      <w:color w:val="000000"/>
                      <w:sz w:val="22"/>
                    </w:rPr>
                    <w:t>病历打印:</w:t>
                  </w:r>
                  <w:r>
                    <w:br w:type="textWrapping"/>
                  </w:r>
                  <w:r>
                    <w:rPr>
                      <w:color w:val="000000"/>
                      <w:sz w:val="22"/>
                    </w:rPr>
                    <w:t>提供医师将签名后的病历打印出来的功能。</w:t>
                  </w:r>
                  <w:r>
                    <w:br w:type="textWrapping"/>
                  </w:r>
                  <w:r>
                    <w:rPr>
                      <w:color w:val="000000"/>
                      <w:sz w:val="22"/>
                    </w:rPr>
                    <w:t>病历删除:</w:t>
                  </w:r>
                  <w:r>
                    <w:br w:type="textWrapping"/>
                  </w:r>
                  <w:r>
                    <w:rPr>
                      <w:color w:val="000000"/>
                      <w:sz w:val="22"/>
                    </w:rPr>
                    <w:t>提供医师删除保存过的有问题的病历的功能。</w:t>
                  </w:r>
                  <w:r>
                    <w:br w:type="textWrapping"/>
                  </w:r>
                  <w:r>
                    <w:rPr>
                      <w:color w:val="000000"/>
                      <w:sz w:val="22"/>
                    </w:rPr>
                    <w:t>病历数据引用:</w:t>
                  </w:r>
                  <w:r>
                    <w:br w:type="textWrapping"/>
                  </w:r>
                  <w:r>
                    <w:rPr>
                      <w:color w:val="000000"/>
                      <w:sz w:val="22"/>
                    </w:rPr>
                    <w:t>提供医师在创建患者病历时，引用该患者的基本信息数据的功能。</w:t>
                  </w:r>
                  <w:r>
                    <w:br w:type="textWrapping"/>
                  </w:r>
                  <w:r>
                    <w:rPr>
                      <w:color w:val="000000"/>
                      <w:sz w:val="22"/>
                    </w:rPr>
                    <w:t>病历引用:</w:t>
                  </w:r>
                  <w:r>
                    <w:br w:type="textWrapping"/>
                  </w:r>
                  <w:r>
                    <w:rPr>
                      <w:color w:val="000000"/>
                      <w:sz w:val="22"/>
                    </w:rPr>
                    <w:t>提供医师可以引用患者历次就诊的病历的功能。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w:t>
                  </w: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286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电子病历浏览器</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▲病历文书浏览：要求提供护士或手术科室等浏览患者历次就诊的病历文书的功能.(提供功能截图证明或重点功能响应承诺函（格式自拟），并加盖投标人公章)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287</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vMerge w:val="continue"/>
                  <w:tcBorders>
                    <w:top w:val="nil"/>
                    <w:left w:val="nil"/>
                    <w:bottom w:val="single" w:color="000000" w:sz="4" w:space="0"/>
                    <w:right w:val="single" w:color="000000" w:sz="4" w:space="0"/>
                  </w:tcBorders>
                </w:tcP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就诊历史记录的浏览:</w:t>
                  </w:r>
                  <w:r>
                    <w:br w:type="textWrapping"/>
                  </w:r>
                  <w:r>
                    <w:rPr>
                      <w:color w:val="000000"/>
                      <w:sz w:val="22"/>
                    </w:rPr>
                    <w:t>提供护士或手术科室查看患者历史就诊记录的功能。</w:t>
                  </w:r>
                  <w:r>
                    <w:br w:type="textWrapping"/>
                  </w:r>
                  <w:r>
                    <w:rPr>
                      <w:color w:val="000000"/>
                      <w:sz w:val="22"/>
                    </w:rPr>
                    <w:t>检查、检验、医嘱单、体温单浏览:</w:t>
                  </w:r>
                  <w:r>
                    <w:br w:type="textWrapping"/>
                  </w:r>
                  <w:r>
                    <w:rPr>
                      <w:color w:val="000000"/>
                      <w:sz w:val="22"/>
                    </w:rPr>
                    <w:t>提供护士或手术科室等查看患者历史就诊的检查、检验、医嘱单、体温单等信息的功能。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288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电子病历术语管理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术语目录管理:</w:t>
                  </w:r>
                  <w:r>
                    <w:br w:type="textWrapping"/>
                  </w:r>
                  <w:r>
                    <w:rPr>
                      <w:color w:val="000000"/>
                      <w:sz w:val="22"/>
                    </w:rPr>
                    <w:t>提供按照标准病历目录数据的标准术语目录数据的功能。</w:t>
                  </w:r>
                  <w:r>
                    <w:br w:type="textWrapping"/>
                  </w:r>
                  <w:r>
                    <w:rPr>
                      <w:color w:val="000000"/>
                      <w:sz w:val="22"/>
                    </w:rPr>
                    <w:t>术语管理:</w:t>
                  </w:r>
                  <w:r>
                    <w:br w:type="textWrapping"/>
                  </w:r>
                  <w:r>
                    <w:rPr>
                      <w:color w:val="000000"/>
                      <w:sz w:val="22"/>
                    </w:rPr>
                    <w:t>提供高级用户或项目实施人员依据卫健委的标准电子病历数据集标准WS445的功能。</w:t>
                  </w:r>
                  <w:r>
                    <w:br w:type="textWrapping"/>
                  </w:r>
                  <w:r>
                    <w:rPr>
                      <w:color w:val="000000"/>
                      <w:sz w:val="22"/>
                    </w:rPr>
                    <w:t>术语对照管理:</w:t>
                  </w:r>
                  <w:r>
                    <w:br w:type="textWrapping"/>
                  </w:r>
                  <w:r>
                    <w:rPr>
                      <w:color w:val="000000"/>
                      <w:sz w:val="22"/>
                    </w:rPr>
                    <w:t>提供高级用户或项目实施人员对术语和模板元素进行关联的维护管理功能。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289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系统配置管理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基础字典管理:</w:t>
                  </w:r>
                  <w:r>
                    <w:br w:type="textWrapping"/>
                  </w:r>
                  <w:r>
                    <w:rPr>
                      <w:color w:val="000000"/>
                      <w:sz w:val="22"/>
                    </w:rPr>
                    <w:t>提供项目实施通过基础字典管理新增、修改字典显示的HIS系统数据的功能。</w:t>
                  </w:r>
                  <w:r>
                    <w:br w:type="textWrapping"/>
                  </w:r>
                  <w:r>
                    <w:rPr>
                      <w:color w:val="000000"/>
                      <w:sz w:val="22"/>
                    </w:rPr>
                    <w:t>数据引用管理:</w:t>
                  </w:r>
                  <w:r>
                    <w:br w:type="textWrapping"/>
                  </w:r>
                  <w:r>
                    <w:rPr>
                      <w:color w:val="000000"/>
                      <w:sz w:val="22"/>
                    </w:rPr>
                    <w:t>提供系统实施维护病历结构化单元需要引用的患者基本信息、医嘱信息、诊断信息、费用信息等数据接口管理的功能。</w:t>
                  </w:r>
                  <w:r>
                    <w:br w:type="textWrapping"/>
                  </w:r>
                  <w:r>
                    <w:rPr>
                      <w:color w:val="000000"/>
                      <w:sz w:val="22"/>
                    </w:rPr>
                    <w:t>病种管理:</w:t>
                  </w:r>
                  <w:r>
                    <w:br w:type="textWrapping"/>
                  </w:r>
                  <w:r>
                    <w:rPr>
                      <w:color w:val="000000"/>
                      <w:sz w:val="22"/>
                    </w:rPr>
                    <w:t>提供高级用户维护病种与科室、icd疾病、知识库之间的关联的管理功能。</w:t>
                  </w:r>
                  <w:r>
                    <w:br w:type="textWrapping"/>
                  </w:r>
                  <w:r>
                    <w:rPr>
                      <w:color w:val="000000"/>
                      <w:sz w:val="22"/>
                    </w:rPr>
                    <w:t>图库管理:</w:t>
                  </w:r>
                  <w:r>
                    <w:br w:type="textWrapping"/>
                  </w:r>
                  <w:r>
                    <w:rPr>
                      <w:color w:val="000000"/>
                      <w:sz w:val="22"/>
                    </w:rPr>
                    <w:t>提供高级用户对图库的配置和维护的管理功能。</w:t>
                  </w:r>
                  <w:r>
                    <w:br w:type="textWrapping"/>
                  </w:r>
                  <w:r>
                    <w:rPr>
                      <w:color w:val="000000"/>
                      <w:sz w:val="22"/>
                    </w:rPr>
                    <w:t>病历导航目录管理:</w:t>
                  </w:r>
                  <w:r>
                    <w:br w:type="textWrapping"/>
                  </w:r>
                  <w:r>
                    <w:rPr>
                      <w:color w:val="000000"/>
                      <w:sz w:val="22"/>
                    </w:rPr>
                    <w:t>提供高级用户维护显示在临床医师书写界面的病历目录的管理功能。</w:t>
                  </w:r>
                  <w:r>
                    <w:br w:type="textWrapping"/>
                  </w:r>
                  <w:r>
                    <w:rPr>
                      <w:color w:val="000000"/>
                      <w:sz w:val="22"/>
                    </w:rPr>
                    <w:t>系统参数管理:</w:t>
                  </w:r>
                  <w:r>
                    <w:br w:type="textWrapping"/>
                  </w:r>
                  <w:r>
                    <w:rPr>
                      <w:color w:val="000000"/>
                      <w:sz w:val="22"/>
                    </w:rPr>
                    <w:t>提供系统参数配置用户各项个性化需求管理功能。</w:t>
                  </w:r>
                  <w:r>
                    <w:br w:type="textWrapping"/>
                  </w:r>
                  <w:r>
                    <w:rPr>
                      <w:color w:val="000000"/>
                      <w:sz w:val="22"/>
                    </w:rPr>
                    <w:t>病历权限管理:</w:t>
                  </w:r>
                  <w:r>
                    <w:br w:type="textWrapping"/>
                  </w:r>
                  <w:r>
                    <w:rPr>
                      <w:color w:val="000000"/>
                      <w:sz w:val="22"/>
                    </w:rPr>
                    <w:t>病例操作权限管理：提供高级用户根据医务科的管理规定，用脚本对病历的保存、打印、删除、签名、留痕等操作进行权限管理的功能。</w:t>
                  </w:r>
                  <w:r>
                    <w:br w:type="textWrapping"/>
                  </w:r>
                  <w:r>
                    <w:rPr>
                      <w:color w:val="000000"/>
                      <w:sz w:val="22"/>
                    </w:rPr>
                    <w:t>病历浏览权限管理:</w:t>
                  </w:r>
                  <w:r>
                    <w:br w:type="textWrapping"/>
                  </w:r>
                  <w:r>
                    <w:rPr>
                      <w:color w:val="000000"/>
                      <w:sz w:val="22"/>
                    </w:rPr>
                    <w:t>提供高级用户根据医务科的管理规定，用脚本对病历的浏览进行权限管理的功能。</w:t>
                  </w:r>
                  <w:r>
                    <w:br w:type="textWrapping"/>
                  </w:r>
                  <w:r>
                    <w:rPr>
                      <w:color w:val="000000"/>
                      <w:sz w:val="22"/>
                    </w:rPr>
                    <w:t>病历加载权限管理:</w:t>
                  </w:r>
                  <w:r>
                    <w:br w:type="textWrapping"/>
                  </w:r>
                  <w:r>
                    <w:rPr>
                      <w:color w:val="000000"/>
                      <w:sz w:val="22"/>
                    </w:rPr>
                    <w:t>提供高级用户根据医务科的管理规定，用脚本对病历的加载进行权限管理的功能。</w:t>
                  </w:r>
                  <w:r>
                    <w:br w:type="textWrapping"/>
                  </w:r>
                  <w:r>
                    <w:rPr>
                      <w:color w:val="000000"/>
                      <w:sz w:val="22"/>
                    </w:rPr>
                    <w:t>病历授权权限管理:</w:t>
                  </w:r>
                  <w:r>
                    <w:br w:type="textWrapping"/>
                  </w:r>
                  <w:r>
                    <w:rPr>
                      <w:color w:val="000000"/>
                      <w:sz w:val="22"/>
                    </w:rPr>
                    <w:t>提供高级用户根据医务科的管理规定，用脚本对病历的授权进行权限管理的功能。</w:t>
                  </w:r>
                  <w:r>
                    <w:br w:type="textWrapping"/>
                  </w:r>
                  <w:r>
                    <w:rPr>
                      <w:color w:val="000000"/>
                      <w:sz w:val="22"/>
                    </w:rPr>
                    <w:t>病历创建权限管理:</w:t>
                  </w:r>
                  <w:r>
                    <w:br w:type="textWrapping"/>
                  </w:r>
                  <w:r>
                    <w:rPr>
                      <w:color w:val="000000"/>
                      <w:sz w:val="22"/>
                    </w:rPr>
                    <w:t>提供高级用户根据医务科的管理规定，用脚本对病历的创建进行权限管理的功能。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290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隐私保护管理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提供高级用户对隐私域的配置和维护的管理功能。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291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图片生成</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图片生成服务程序</w:t>
                  </w:r>
                  <w:r>
                    <w:br w:type="textWrapping"/>
                  </w:r>
                  <w:r>
                    <w:rPr>
                      <w:color w:val="000000"/>
                      <w:sz w:val="22"/>
                    </w:rPr>
                    <w:t>提供将每天产生的病历都生成图片并上传的功能。</w:t>
                  </w:r>
                  <w:r>
                    <w:br w:type="textWrapping"/>
                  </w:r>
                  <w:r>
                    <w:rPr>
                      <w:color w:val="000000"/>
                      <w:sz w:val="22"/>
                    </w:rPr>
                    <w:t>病历图片获取公共服务</w:t>
                  </w:r>
                  <w:r>
                    <w:br w:type="textWrapping"/>
                  </w:r>
                  <w:r>
                    <w:rPr>
                      <w:color w:val="000000"/>
                      <w:sz w:val="22"/>
                    </w:rPr>
                    <w:t>提供第三方系统获取患者就诊的图片列表及病历内容图片的功能。</w:t>
                  </w:r>
                  <w:r>
                    <w:br w:type="textWrapping"/>
                  </w:r>
                  <w:r>
                    <w:rPr>
                      <w:color w:val="000000"/>
                      <w:sz w:val="22"/>
                    </w:rPr>
                    <w:t>提高书写病历的效率，方便医生和医务部门查找病历，利用数据挖掘技术支持临床研究，自动生成纸张病历，支持打印，把医生的知识积累模板，逐渐形成医院的知识库，起到教学传承的作用。知识的积累后逐渐过渡到临床路径，系统根据病人病情自动生产临床指导性方案。</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292</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护理电子病历系统</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体温单</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护理人员利用手持PDA系统采集体征数据、患者事件的输入，系统可自动生成体温单绘制，并支持打印；根据采集到的患者体征数据自动生成血压趋势图；</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293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血糖单</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护理人员手持PDA系统支持单人和多人批量两种输入血糖数据模式，自动生成血糖单，自动生成血糖趋势图，趋势图可展示每个采集值的详细信息，支持根据血糖采集状态过滤查看：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294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评估单</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系统支持入院评估、Gordonll项身体结构功能评估以及各专项评估，根据评估结构自动生成护理评估单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295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中医专科评估单</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系统支持护理人员通过对证候症状、主要症状、中医护理技术、主要辩证施护方法，开展中医护理方案制定，支持对中医护理方案、中医护理技术依从性/满意度、中医护理技术应用情况、主要辩证施护方法应用情况等维度的统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296</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电子病历质控系统</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系统配置管理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质控标准维护:</w:t>
                  </w:r>
                  <w:r>
                    <w:br w:type="textWrapping"/>
                  </w:r>
                  <w:r>
                    <w:rPr>
                      <w:color w:val="000000"/>
                      <w:sz w:val="22"/>
                    </w:rPr>
                    <w:t>定义主观评分标准、提示列表标准、保存提示标准、提交控制标准、打印控制标准、自动任务在院质控、自动任务出院质控等。</w:t>
                  </w:r>
                  <w:r>
                    <w:br w:type="textWrapping"/>
                  </w:r>
                  <w:r>
                    <w:rPr>
                      <w:color w:val="000000"/>
                      <w:sz w:val="22"/>
                    </w:rPr>
                    <w:t>病历质控项目维护:</w:t>
                  </w:r>
                  <w:r>
                    <w:br w:type="textWrapping"/>
                  </w:r>
                  <w:r>
                    <w:rPr>
                      <w:color w:val="000000"/>
                      <w:sz w:val="22"/>
                    </w:rPr>
                    <w:t>病历质控项目分为完整性和一致性两大类。一致性病历质控项目提供病历时效性、逻辑性、主观评分项目定义。完整性病历质控项目提供病历必填内容的质控项目的定义。</w:t>
                  </w:r>
                  <w:r>
                    <w:br w:type="textWrapping"/>
                  </w:r>
                  <w:r>
                    <w:rPr>
                      <w:color w:val="000000"/>
                      <w:sz w:val="22"/>
                    </w:rPr>
                    <w:t>病历质控结构维护:</w:t>
                  </w:r>
                  <w:r>
                    <w:br w:type="textWrapping"/>
                  </w:r>
                  <w:r>
                    <w:rPr>
                      <w:color w:val="000000"/>
                      <w:sz w:val="22"/>
                    </w:rPr>
                    <w:t>配置质控功能时，需要维护1:质控结构；2:检查条件；3:病历范畴</w:t>
                  </w:r>
                  <w:r>
                    <w:br w:type="textWrapping"/>
                  </w:r>
                  <w:r>
                    <w:rPr>
                      <w:color w:val="000000"/>
                      <w:sz w:val="22"/>
                    </w:rPr>
                    <w:t>质控启动开关维护:</w:t>
                  </w:r>
                  <w:r>
                    <w:br w:type="textWrapping"/>
                  </w:r>
                  <w:r>
                    <w:rPr>
                      <w:color w:val="000000"/>
                      <w:sz w:val="22"/>
                    </w:rPr>
                    <w:t>配置质控功能时，需要维护质控标准和启动选项，将相关质控标准和启动选项设置为有效。</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297</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病历质控提示列表</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自动质控提示列表</w:t>
                  </w:r>
                  <w:r>
                    <w:br w:type="textWrapping"/>
                  </w:r>
                  <w:r>
                    <w:rPr>
                      <w:color w:val="000000"/>
                      <w:sz w:val="22"/>
                    </w:rPr>
                    <w:t>提供医生书写界面提示系统自动检查发现的病历质量问题。</w:t>
                  </w:r>
                  <w:r>
                    <w:br w:type="textWrapping"/>
                  </w:r>
                  <w:r>
                    <w:rPr>
                      <w:color w:val="000000"/>
                      <w:sz w:val="22"/>
                    </w:rPr>
                    <w:t>环节质控提示列表</w:t>
                  </w:r>
                  <w:r>
                    <w:br w:type="textWrapping"/>
                  </w:r>
                  <w:r>
                    <w:rPr>
                      <w:color w:val="000000"/>
                      <w:sz w:val="22"/>
                    </w:rPr>
                    <w:t>提供医生书写界面提示科室质控员发现的环节质控项目。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298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科室级质控</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病历环节质控患者列表:</w:t>
                  </w:r>
                  <w:r>
                    <w:br w:type="textWrapping"/>
                  </w:r>
                  <w:r>
                    <w:rPr>
                      <w:color w:val="000000"/>
                      <w:sz w:val="22"/>
                    </w:rPr>
                    <w:t>提供科室质控员查询环节质控患者列表的功能。</w:t>
                  </w:r>
                  <w:r>
                    <w:br w:type="textWrapping"/>
                  </w:r>
                  <w:r>
                    <w:rPr>
                      <w:color w:val="000000"/>
                      <w:sz w:val="22"/>
                    </w:rPr>
                    <w:t>病历环节质控:</w:t>
                  </w:r>
                  <w:r>
                    <w:br w:type="textWrapping"/>
                  </w:r>
                  <w:r>
                    <w:rPr>
                      <w:color w:val="000000"/>
                      <w:sz w:val="22"/>
                    </w:rPr>
                    <w:t>提供病历质控员对患者病历集中浏览、标注病历缺陷、添加缺陷项目、发送质控消息的功能。</w:t>
                  </w:r>
                  <w:r>
                    <w:br w:type="textWrapping"/>
                  </w:r>
                  <w:r>
                    <w:rPr>
                      <w:color w:val="000000"/>
                      <w:sz w:val="22"/>
                    </w:rPr>
                    <w:t>病历质控消息查看:</w:t>
                  </w:r>
                  <w:r>
                    <w:br w:type="textWrapping"/>
                  </w:r>
                  <w:r>
                    <w:rPr>
                      <w:color w:val="000000"/>
                      <w:sz w:val="22"/>
                    </w:rPr>
                    <w:t>提供病历质控员本人所发送的质控消息处理情况查询、浏览的功能</w:t>
                  </w:r>
                  <w:r>
                    <w:br w:type="textWrapping"/>
                  </w:r>
                  <w:r>
                    <w:rPr>
                      <w:color w:val="000000"/>
                      <w:sz w:val="22"/>
                    </w:rPr>
                    <w:t>复制粘贴权限:</w:t>
                  </w:r>
                  <w:r>
                    <w:br w:type="textWrapping"/>
                  </w:r>
                  <w:r>
                    <w:rPr>
                      <w:color w:val="000000"/>
                      <w:sz w:val="22"/>
                    </w:rPr>
                    <w:t>提供质控管理员对医生书写病历的复制粘贴操作的控制功能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299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院级质控</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病历终末质控患者列表</w:t>
                  </w:r>
                  <w:r>
                    <w:br w:type="textWrapping"/>
                  </w:r>
                  <w:r>
                    <w:rPr>
                      <w:color w:val="000000"/>
                      <w:sz w:val="22"/>
                    </w:rPr>
                    <w:t>提供病历质控员查询终末质控患者列表的功能。</w:t>
                  </w:r>
                  <w:r>
                    <w:br w:type="textWrapping"/>
                  </w:r>
                  <w:r>
                    <w:rPr>
                      <w:color w:val="000000"/>
                      <w:sz w:val="22"/>
                    </w:rPr>
                    <w:t>病历终末质控</w:t>
                  </w:r>
                  <w:r>
                    <w:br w:type="textWrapping"/>
                  </w:r>
                  <w:r>
                    <w:rPr>
                      <w:color w:val="000000"/>
                      <w:sz w:val="22"/>
                    </w:rPr>
                    <w:t>提供病历质控员对出院患者病历集中浏览、标注病历缺陷、添加缺陷项目的功能。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300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质控报表</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病历环节质控明细报表</w:t>
                  </w:r>
                  <w:r>
                    <w:br w:type="textWrapping"/>
                  </w:r>
                  <w:r>
                    <w:rPr>
                      <w:color w:val="000000"/>
                      <w:sz w:val="22"/>
                    </w:rPr>
                    <w:t>提供病历环节质控明细内容的统计功能。</w:t>
                  </w:r>
                  <w:r>
                    <w:br w:type="textWrapping"/>
                  </w:r>
                  <w:r>
                    <w:rPr>
                      <w:color w:val="000000"/>
                      <w:sz w:val="22"/>
                    </w:rPr>
                    <w:t>病历终末等级报表</w:t>
                  </w:r>
                  <w:r>
                    <w:br w:type="textWrapping"/>
                  </w:r>
                  <w:r>
                    <w:rPr>
                      <w:color w:val="000000"/>
                      <w:sz w:val="22"/>
                    </w:rPr>
                    <w:t>为医务科提供病历终末等级的统计功能。</w:t>
                  </w:r>
                  <w:r>
                    <w:br w:type="textWrapping"/>
                  </w:r>
                  <w:r>
                    <w:rPr>
                      <w:color w:val="000000"/>
                      <w:sz w:val="22"/>
                    </w:rPr>
                    <w:t>病历终末质控明细报表</w:t>
                  </w:r>
                  <w:r>
                    <w:br w:type="textWrapping"/>
                  </w:r>
                  <w:r>
                    <w:rPr>
                      <w:color w:val="000000"/>
                      <w:sz w:val="22"/>
                    </w:rPr>
                    <w:t>为医务科提供病历终末质控详细缺陷的统计功能。</w:t>
                  </w:r>
                  <w:r>
                    <w:br w:type="textWrapping"/>
                  </w:r>
                  <w:r>
                    <w:rPr>
                      <w:color w:val="000000"/>
                      <w:sz w:val="22"/>
                    </w:rPr>
                    <w:t>病历单否分类报表</w:t>
                  </w:r>
                  <w:r>
                    <w:br w:type="textWrapping"/>
                  </w:r>
                  <w:r>
                    <w:rPr>
                      <w:color w:val="000000"/>
                      <w:sz w:val="22"/>
                    </w:rPr>
                    <w:t>为医务科提供病历单否类质控项目的统计功能。</w:t>
                  </w:r>
                  <w:r>
                    <w:br w:type="textWrapping"/>
                  </w:r>
                  <w:r>
                    <w:rPr>
                      <w:color w:val="000000"/>
                      <w:sz w:val="22"/>
                    </w:rPr>
                    <w:t>病历质控项目查询报表</w:t>
                  </w:r>
                  <w:r>
                    <w:br w:type="textWrapping"/>
                  </w:r>
                  <w:r>
                    <w:rPr>
                      <w:color w:val="000000"/>
                      <w:sz w:val="22"/>
                    </w:rPr>
                    <w:t>为医务科提供指定病历质控项目的查询统计功能。</w:t>
                  </w:r>
                  <w:r>
                    <w:br w:type="textWrapping"/>
                  </w:r>
                  <w:r>
                    <w:rPr>
                      <w:color w:val="000000"/>
                      <w:sz w:val="22"/>
                    </w:rPr>
                    <w:t>通过病历质控系统，可以更好的对电子病历进行监管，提高临床质量。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301</w:t>
                  </w:r>
                </w:p>
              </w:tc>
              <w:tc>
                <w:tcPr>
                  <w:tcW w:w="46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医技管理</w:t>
                  </w: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医技计费管理系统</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基本查询</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执行登记、取消、查询等基本功能。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302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执行批处理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医嘱执行操作的批处理。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303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执行补费</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项目执行过程中的补费。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304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待检信息显示</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显示所有申请病人名单，查验收费信息，提前作好待检准备功能。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305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受检顺序调整</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与医生工作站协同使用，直接提取申请病人信息，并可根据急诊、重症(根据医生申请)病人显示的优先级别调整受检顺序，同时单独使用，进行病人的预约登记及排程功能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306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补医嘱计费</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医技科室根据检查需要进行补录医嘱，补记费用操作。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307</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附加医嘱计费</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医技科室对已有医嘱进行附加费用的登记处理。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308</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手术计费管理系统</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门诊手术管理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门诊手术管理：具备门诊手术患者手术信息预约登记功能，完成手术预约及审批。</w:t>
                  </w:r>
                  <w:r>
                    <w:br w:type="textWrapping"/>
                  </w:r>
                  <w:r>
                    <w:rPr>
                      <w:color w:val="000000"/>
                      <w:sz w:val="22"/>
                    </w:rPr>
                    <w:t>具备病人基本信息、手术安排信息录入功能。</w:t>
                  </w:r>
                  <w:r>
                    <w:br w:type="textWrapping"/>
                  </w:r>
                  <w:r>
                    <w:rPr>
                      <w:color w:val="000000"/>
                      <w:sz w:val="22"/>
                    </w:rPr>
                    <w:t>具备按照手术等级、医生职务等级匹配进行手术权限的设定功能。</w:t>
                  </w:r>
                  <w:r>
                    <w:br w:type="textWrapping"/>
                  </w:r>
                  <w:r>
                    <w:rPr>
                      <w:color w:val="000000"/>
                      <w:sz w:val="22"/>
                    </w:rPr>
                    <w:t>具备手术费用录入功能，可以进行手术项目及药品处方的录入，支持与HRP进行对接，实现手术耗材支持条码扫描。</w:t>
                  </w:r>
                  <w:r>
                    <w:br w:type="textWrapping"/>
                  </w:r>
                  <w:r>
                    <w:rPr>
                      <w:color w:val="000000"/>
                      <w:sz w:val="22"/>
                    </w:rPr>
                    <w:t>具备麻醉费用录入功能，能够提供麻醉处方及麻醉协定方的录入。</w:t>
                  </w:r>
                  <w:r>
                    <w:br w:type="textWrapping"/>
                  </w:r>
                  <w:r>
                    <w:rPr>
                      <w:color w:val="000000"/>
                      <w:sz w:val="22"/>
                    </w:rPr>
                    <w:t>门诊手术管理：具备手术情况录入功能，能够详细记录病人术中情况，支持界面录入字段自定义设计。</w:t>
                  </w:r>
                  <w:r>
                    <w:br w:type="textWrapping"/>
                  </w:r>
                  <w:r>
                    <w:rPr>
                      <w:color w:val="000000"/>
                      <w:sz w:val="22"/>
                    </w:rPr>
                    <w:t>具备麻醉情况录入功能，能够详细记录病人术中麻醉情况，支持界面录入字段自定义设计。</w:t>
                  </w:r>
                  <w:r>
                    <w:br w:type="textWrapping"/>
                  </w:r>
                  <w:r>
                    <w:rPr>
                      <w:color w:val="000000"/>
                      <w:sz w:val="22"/>
                    </w:rPr>
                    <w:t>具备查询功能，包括病人费用、手术情况、手术费用查询。具备报表管理，包括手术室排班表、手术室使用情况统计、手术工作量统计、麻醉工作量统计。</w:t>
                  </w:r>
                  <w:r>
                    <w:br w:type="textWrapping"/>
                  </w:r>
                  <w:r>
                    <w:rPr>
                      <w:color w:val="000000"/>
                      <w:sz w:val="22"/>
                    </w:rPr>
                    <w:t>具备手术相关基础数据维护功能，可对门诊手术预约设置、医生限号设置、手术权限、手术麻醉协定、手术室、手术等级代码、手术房间、切口等级进行设置。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309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住院手术管理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住院手术管理：具备住院手术安排功能，能够完成病人手术基本信息的录入，急诊/择期于术的排期及取消，手术相关人员的信息录入。</w:t>
                  </w:r>
                  <w:r>
                    <w:br w:type="textWrapping"/>
                  </w:r>
                  <w:r>
                    <w:rPr>
                      <w:color w:val="000000"/>
                      <w:sz w:val="22"/>
                    </w:rPr>
                    <w:t>具备手术申请审核功能，对手术申请单进行审核及打印。</w:t>
                  </w:r>
                  <w:r>
                    <w:br w:type="textWrapping"/>
                  </w:r>
                  <w:r>
                    <w:rPr>
                      <w:color w:val="000000"/>
                      <w:sz w:val="22"/>
                    </w:rPr>
                    <w:t>具备按照手术等级、医生职务等级匹配进行手术权限的设定功能。</w:t>
                  </w:r>
                  <w:r>
                    <w:br w:type="textWrapping"/>
                  </w:r>
                  <w:r>
                    <w:rPr>
                      <w:color w:val="000000"/>
                      <w:sz w:val="22"/>
                    </w:rPr>
                    <w:t>具备手术费用录入功能，进行手术项目及药品处方的录入，支持与HRP进行对接，实现手术耗材支持条码扫描。</w:t>
                  </w:r>
                  <w:r>
                    <w:br w:type="textWrapping"/>
                  </w:r>
                  <w:r>
                    <w:rPr>
                      <w:color w:val="000000"/>
                      <w:sz w:val="22"/>
                    </w:rPr>
                    <w:t>具备麻醉费用录入功能，能够提供麻醉处方及麻醉协定方的录入。</w:t>
                  </w:r>
                  <w:r>
                    <w:br w:type="textWrapping"/>
                  </w:r>
                  <w:r>
                    <w:rPr>
                      <w:color w:val="000000"/>
                      <w:sz w:val="22"/>
                    </w:rPr>
                    <w:t>具备手术情况录入功能，能够详细记录病人术中情况，支持界面录入字段自定义设计。</w:t>
                  </w:r>
                  <w:r>
                    <w:br w:type="textWrapping"/>
                  </w:r>
                  <w:r>
                    <w:rPr>
                      <w:color w:val="000000"/>
                      <w:sz w:val="22"/>
                    </w:rPr>
                    <w:t>具备麻醉情况录入功能，能够详细记录病人术中麻醉情况，支持界面录入字段自定义设计。</w:t>
                  </w:r>
                  <w:r>
                    <w:br w:type="textWrapping"/>
                  </w:r>
                  <w:r>
                    <w:rPr>
                      <w:color w:val="000000"/>
                      <w:sz w:val="22"/>
                    </w:rPr>
                    <w:t>具备术中医嘱功能，能够完成术中医嘱的审核、执行。</w:t>
                  </w:r>
                  <w:r>
                    <w:br w:type="textWrapping"/>
                  </w:r>
                  <w:r>
                    <w:rPr>
                      <w:color w:val="000000"/>
                      <w:sz w:val="22"/>
                    </w:rPr>
                    <w:t>具备汇总领药功能，对手术中产生的药品进行汇总、领药单打印。支持与耗材管理系统对接，实现耗材的计费核销功能。</w:t>
                  </w:r>
                  <w:r>
                    <w:br w:type="textWrapping"/>
                  </w:r>
                  <w:r>
                    <w:rPr>
                      <w:color w:val="000000"/>
                      <w:sz w:val="22"/>
                    </w:rPr>
                    <w:t>具备查询功能，包括病人费用、手术情况、手术费用、领药信息、病人退药信息、手术室退药信息查询。</w:t>
                  </w:r>
                  <w:r>
                    <w:br w:type="textWrapping"/>
                  </w:r>
                  <w:r>
                    <w:rPr>
                      <w:color w:val="000000"/>
                      <w:sz w:val="22"/>
                    </w:rPr>
                    <w:t>具备报表管理功能，包括手术室排班表、手术室使用情况统计、手术工作量统计、麻醉工作量统计。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310</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治疗管理系统</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治疗申请</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治疗申请：系统支持治疗申请单独立申请，也支持医嘱录入直接录入医嘱审核申请。申请成功后，门诊患者缴费后可到相应治疗科室进行治疗，住院患者可直接前往治疗科室进行治疗。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311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治疗分配</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治疗分配：治疗分配为可选流程，可指定需分配的治疗医师，若启用此流程，则治疗申请只有分配到指定人员才可进行治疗预约或治疗。系统实时展示可分配治疗师名下的申请单数，便于进行及时调整，平衡分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312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治疗预约</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治疗预约：系统内治疗申请分为两种类型，一种是直接执行，另一种是治疗预约。直接执行无需预约，直接进行治疗记录的保存完成治疗即可。需要进行预约的治疗申请，由治疗师选择相应日期及治疗师的治疗排班进行预约治疗。系统支持为多个申请进行批量预约，也支持为已预约的记录取消预约，可打印预约凭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313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治疗</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治疗：患者预约完成后，到指定日期后到治疗科室进行治疗，治疗师选择患者的预约记录后，可根据实际情况在系统内录入具体的治疗情况，同时也可批量录入保存治疗记录。系统支持对已治疗的治疗记录进行修改撤销，也可为相应的治疗记录上传治疗图片，可浏览治疗记录各个操作节点的时间及操作人员信息。</w:t>
                  </w:r>
                  <w:r>
                    <w:br w:type="textWrapping"/>
                  </w:r>
                  <w:r>
                    <w:rPr>
                      <w:color w:val="000000"/>
                      <w:sz w:val="22"/>
                    </w:rPr>
                    <w:t>治疗科室工作站系统可满足临床需要，提供完整的患者治疗管理流程；可满足基本管理需要，对医院治疗科室工作提供有针对性，计划性的资源规划和信息化管理；可满足科研对治疗项目数据的需要，对患者的治疗情况和治疗过程进行保存，为临床科研工作提供信息基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314</w:t>
                  </w:r>
                </w:p>
              </w:tc>
              <w:tc>
                <w:tcPr>
                  <w:tcW w:w="46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体检系统</w:t>
                  </w: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网上预约</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在线调查问卷</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基于系统健康评估模块维护的问卷内容，在线对用户进行预约前的基本信息(如病史、生活习惯等)筛查。通过科学的问卷评估模型可初步掌握用户身体状况，对用户可能存在的潜在疾病进行评估，为用户自主在线选择项目提科学的依据，进而提升用户体检质量，助于体检机构进行精准筛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315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预约号源排期</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根据体检机构容纳量，可对网上预约限额进行管理。目前号源维护是基于VIP等级(套餐类型)、性别、预约类型(个人或团体)、日期、科室五个维度进行划分。可通过限额模板批量生成限额信息。支持每日按时段预约。特殊团体可维护成主场团体，进行该团体私有的号源维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316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个人预约(1+X模式)</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个人预约在线可以选择一个基础体检套餐，加自助选择体检项目的模式进行体检预约。可在线查询预约记录；取消预约记录。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317</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团体预约</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团体预约记录通过线下生成，分组并导入名单后，团体成员可在线选择公费项目或自费项目进行预约，可以针对预约记录进行项目修改和体检日期修改。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318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在线缴费</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个人预约或团体自费加项完成后，可自动在体检系统登记，线上完成项目缴费。到达体检机构后可通过自助机打印导诊单，根据分诊信息进行科室检查，减少客户排队等待时间，节省体检机构医护资源。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w:t>
                  </w: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319</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体检前台预约</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个人预约</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个人预约：要求系统支持通过就诊卡、身份证、姓名获取已有的客户信息直接预约、也可以建立客户信息后进行预约，预约时可以拍照并保存客户照片，预约界面显示的套餐和项目根据客户的VIP等级、性别、婚姻状况等自动进行过滤，选择套餐和项目支持模糊查询，选择完成可以按需打印体检指引单、检查检验条码。职业病体检提供职业病相关的基本信息、职业史、病史、职业病史等内容的录入保存功能。(提供功能截图证明或重点功能响应承诺函（格式自拟），并加盖投标人公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320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预约管理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设置体检中心网络预约及现场预约的限额，当到达预约数量时提示前台已达预约限额。</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321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个人基本信息维护</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系统支持通过姓名、身份证等查询系统中的个人基本信息记录；没有记录的、可新建客户基本信息；有记录的可以修改已有的客户基本信息；信息维护时可以拍照并保存客户的照片。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322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个人预约</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系统支持通过就诊卡、身份证、姓名获取已有的客户信息直接预约、也可以建立客户信息后进行预约，预约时可以拍照并保存客户照片，预约界面显示的套餐和项目根据客户的VIP等级、性别、婚姻状况等自动进行过滤，选择套餐和项目支持模糊查询，选择完成可以按需打印体检指引单、检查检验条码。职业病体检提供职业病相关的基本信息、职业史、病史、职业病史等内容的录入保存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323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个人预约查询</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系统支持登记号、姓名、团体、预约状态等条件的组合查询功能，也支持通过读身份证直接查找预约记录。选中预约记录，可以设置先体检后交费、可以对费用进行折扣、销售金额优惠，可以打印指引单、检查检验条码、病理单等单据，可以给客户进行报到操作，对已约未报到的记录可以修改体检日期或者进行取消体检操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324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团体基本信息维护</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系统支持通过团体名称或者负责人查询团体档案、可以新建团体基本信息、也可以修改已有的团体基本信息。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325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团体预约</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团体预约可以新建团体预约记录、设置团体体检的起始日期和截止日期、支付方式为团体统结或者团体人员自结、是否先体检后缴费以及其他必要设置等，系统支持自动进行分组并将团体人员批量导入到对应分组中，并可以为分组中人员批量增加项目，系统还支持对分组中选定的人员以公费或自费的形式增加项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326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团体预约查询</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团体预约查询可以查询团体的预约记录，可以计算团体的总费用，可以对团体进行折扣或者销售金额的优惠，可以查看打印团体的已检未检人员情况，也可以导出团体的费用清单；系统还提供复制历史团体预约记录的分组和项目。</w:t>
                  </w:r>
                  <w:r>
                    <w:br w:type="textWrapping"/>
                  </w:r>
                  <w:r>
                    <w:rPr>
                      <w:color w:val="000000"/>
                      <w:sz w:val="22"/>
                    </w:rPr>
                    <w:t>体检中心可为客户建立档案信息，能快捷办理各种类型的体检，在客户报告时一键打印体检的各类单据。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w:t>
                  </w: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327</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分诊排队</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分诊排队</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分诊排队:分诊排队为诊室提供叫号、顺延、过号功能，在诊室检查结束时为体检客户分配下一站诊室。对系统自动分配的诊室，可进行人干预，对不想检查的诊室进行放弃等操作。具体功能要求包括：体检诊室维护、诊室调整、采血台及诊室叫号,分配诊室。(提供功能截图证明或重点功能响应承诺函（格式自拟），并加盖投标人公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328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体检诊室维护</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提供体检诊室基本信息维护。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329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诊室调整</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展示各诊室的等侯人数、时间、过号人数；查询体检客户的第一诊室或者当前诊室；对已分配的诊室进行人工干预，如更换诊室，暂停排队等。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330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采血台及诊室叫号，分配诊室</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采血护士或诊室医生对当前分配到自己诊室的体检客户依次进行叫号、对未到达的客户进行顺延、过号操作；完成采血或者检查喉为客户分配下一站体检诊室。</w:t>
                  </w:r>
                  <w:r>
                    <w:br w:type="textWrapping"/>
                  </w:r>
                  <w:r>
                    <w:rPr>
                      <w:color w:val="000000"/>
                      <w:sz w:val="22"/>
                    </w:rPr>
                    <w:t>分诊排队结合体检中心的检查区域安排、各诊室的检查时间、基本医疗规则实现让体检客户排队时间最短，提升客户满意度；结合门头屏、自助机等体检中心可安排体检客户高效、有序参加体检。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331</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体检采血</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采集标本</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根据诊室分配人员依次叫号采集标本、记录采集时间和采集人。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332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标本采集一览</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直观展示各采血人员标本采集数量、可导出标本采集详细数据。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333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标本运送</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运送员可以建运送单并将标本记录到对应运单、可以查询运送单的处理状态；</w:t>
                  </w:r>
                  <w:r>
                    <w:br w:type="textWrapping"/>
                  </w:r>
                  <w:r>
                    <w:rPr>
                      <w:color w:val="000000"/>
                      <w:sz w:val="22"/>
                    </w:rPr>
                    <w:t>采集标本的使用，详细记录了客户的标本采集时间、采集人、也记录下各采血护士的工作量；标本运送有效解决了标本的遗漏问题。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334</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体检科室医生</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结果录入</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提供体检结果的模板化录入，系统已维护了结果的关键词、体检医生可鼠标双击调出关键词模板进行选择、亦可以自行进行修改，体检医生还可以查看客户当前项目的历史体检结果、也可以查看本次体检其他项目的检查结果。录入完成保存结果，可以为客户添加诊断建议、对建议可进行修改、最后对本诊室进行提交。系统支持自动提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335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获取数据</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系统支持从身高体重及血压设备直接获取数据并保存到系统。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336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图片报告上传</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主要是将一些图片报告上传到体检系统，最后在报告中打印。</w:t>
                  </w:r>
                  <w:r>
                    <w:br w:type="textWrapping"/>
                  </w:r>
                  <w:r>
                    <w:rPr>
                      <w:color w:val="000000"/>
                      <w:sz w:val="22"/>
                    </w:rPr>
                    <w:t>体检医生实现了鼠标点击即可完成的录入方式，提高了提交效率；模板化的录入统一了体检报告的风格；数据获取规避了人工填写可能的错误。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337</w:t>
                  </w:r>
                </w:p>
              </w:tc>
              <w:tc>
                <w:tcPr>
                  <w:tcW w:w="464" w:type="dxa"/>
                  <w:vMerge w:val="continue"/>
                  <w:tcBorders>
                    <w:top w:val="nil"/>
                    <w:left w:val="nil"/>
                    <w:bottom w:val="single" w:color="000000" w:sz="4" w:space="0"/>
                    <w:right w:val="single" w:color="000000" w:sz="4" w:space="0"/>
                  </w:tcBorders>
                </w:tcPr>
                <w:p/>
              </w:tc>
              <w:tc>
                <w:tcPr>
                  <w:tcW w:w="8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体检收表管理</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收表管理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通过扫码查找客户、显示就诊记录，选择就诊记录显示客户无结果项目及未提交的诊室，点击项目可以对项目谢绝检查。</w:t>
                  </w:r>
                  <w:r>
                    <w:br w:type="textWrapping"/>
                  </w:r>
                  <w:r>
                    <w:rPr>
                      <w:color w:val="000000"/>
                      <w:sz w:val="22"/>
                    </w:rPr>
                    <w:t>收表管理有效预防体检客户未做完全部检查离开体检中心、并为客户预约报告领取时间和方式。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338</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体检总检医生</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总检初审</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系统支持总检医生通过组合条件查询未总检、已初审、已复审的体检客户，系统会自动汇总各诊室体检结果的异常进行汇总、并自动生成总检结论建议，总检医生可继续调出建议库添加建议、也可以对已有的建议进行修改，系统支持对建议进行合并排序，最终由总检医生审核并提交。总检医生可在总检界面浏览客户的历史结果、检查检验原始报告。发现高危可进行高危的保存上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339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总检复审</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对初审的建议进行审核和修改我，完成最终的体检审核。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340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发证管理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对特殊类型如健康证的体检给出结论，打印出相关证件。</w:t>
                  </w:r>
                  <w:r>
                    <w:br w:type="textWrapping"/>
                  </w:r>
                  <w:r>
                    <w:rPr>
                      <w:color w:val="000000"/>
                      <w:sz w:val="22"/>
                    </w:rPr>
                    <w:t>根据设置的体检结果和医生建议的关联实现自动总检功能，大大降低了总检医生的工作量。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341</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体检报告系统</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个人报告</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系统支持通过组合条件查询出需要打印的报告、单打或者批量打印体检报告、支持导出Word、PDF格式的体检报告、支持导出体检结论。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342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保密报告</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查询保密报告，保密报告不会出现在个人报告中。</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343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报告已完成</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报告入库并告知客户报告已准备好，并短信通知客户来体检中心领取报告。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344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取报告</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记录报告领取人和领取时间。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345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到期报告</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查询收表管理约取报告未取的报告。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346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团体报告</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自动生成团体体检报告分析，各种常见疾病的患病率、患病人数等；可以导出团人员的异常值和体检结果。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347</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网上浏览体检报告</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报告进度查询</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通过录入客户基本信息在线查询当前报告进度。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348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报告预览、下载、打印</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在线浏览PDF体检报告，方便客户随时查询报告详情，可自主下载打印。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349</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体检收费</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费用管理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系统支持单人结算、将多个单人体检结算到一起、支持将团体费用拆分进行结算，支持定义发票名称，并能支持各种支付方式。结算打印出发票。按需可打印收费明细小票。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350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收费员日结账</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收费员对当天已收的体检费用进行扎账。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351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退费</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对于前台已经做过退费的申请的收据，进行退费操作，所退项目是由体检前台确定。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352</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体检卡管理</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体检卡管理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可查询客户的体检卡记录、如卡信息、余额，可新建体检卡、体检卡充值并打印发票。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353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体检卡明细查询</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查询体检卡的金额变动明细、可以补打充值发票。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354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体检卡状态查询</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查询体检卡的状态。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355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卡金额转移</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卡之间的转账操作，可以批量新建卡并进行充值。</w:t>
                  </w:r>
                  <w:r>
                    <w:br w:type="textWrapping"/>
                  </w:r>
                  <w:r>
                    <w:rPr>
                      <w:color w:val="000000"/>
                      <w:sz w:val="22"/>
                    </w:rPr>
                    <w:t>代金卡管理的应用使体检中心可以发放体检卡、满足部分单位给员工体检卡的诉求，体检预缴金可解决团体在未确定项目时打印体检发票的诉求。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356</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体检主任管理</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挂账折扣权限设置</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设置相关人员是否可以进行挂账、折扣的操作权限。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357</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质量上报统计</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分为责任人和上报人两张报表，可以为科室计算绩效提供参考。</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358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体检中心工作量报表</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查询时间段内人员的各种工作量及明细。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359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体检中心年度报表</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展示人次及收入情况。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360</w:t>
                  </w:r>
                </w:p>
              </w:tc>
              <w:tc>
                <w:tcPr>
                  <w:tcW w:w="464" w:type="dxa"/>
                  <w:vMerge w:val="continue"/>
                  <w:tcBorders>
                    <w:top w:val="nil"/>
                    <w:left w:val="nil"/>
                    <w:bottom w:val="single" w:color="000000" w:sz="4" w:space="0"/>
                    <w:right w:val="single" w:color="000000" w:sz="4" w:space="0"/>
                  </w:tcBorders>
                </w:tcPr>
                <w:p/>
              </w:tc>
              <w:tc>
                <w:tcPr>
                  <w:tcW w:w="8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体检高危信息查询</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高危信息查询</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查询科室医生上报的高危信息及设置好的高危条件查询到的高危结果，发送短信或者打电话通知体检者。</w:t>
                  </w:r>
                  <w:r>
                    <w:br w:type="textWrapping"/>
                  </w:r>
                  <w:r>
                    <w:rPr>
                      <w:color w:val="000000"/>
                      <w:sz w:val="22"/>
                    </w:rPr>
                    <w:t>可实现高危信息查询并进行高危管理。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361</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体检统计查询</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费用统计类</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体检卡汇总报表、团体费用统计、收费员统计报表、科室收入统计、体检收入统计、体检费用统计。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362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疾病体征类</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疾病统计、体检结果分析、高危信息查询。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363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工作量类</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体检中心工作量统计、体检中心年度报表、医生工作量统计、医嘱数量查询、科室工作量统计。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364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其他统计</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排队叫号统计、质量上报统计、体检自费人员未交费已检统计。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365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日常查询类</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体检已检未检弃检查询、未回传结果项目查询、体检状态查询、体检综合查询。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366</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职业病体检</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基础数据维护</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检查种类维护、目标疾病维护、诊断依据维护、工种维护、防护措施维护、危害因素维护、危害因素对应目标疾病、危害因素对应诊断依据、危害因素对应检查项目、检查结论维护、处理意见模板维护。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367</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个人预约职业病信息维护</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个人预约职业病体检成功后，能直接填写职业病体检中需要的信息(检查种类、危害因素、总工龄、接害工龄、职业史、病史、职业病史等)。也可进行修改。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368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团体人员职业病信息批量导入</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支持团体人员导入职业病信息，如：检查种类、危害因素、总工龄、接害工龄等。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369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快速选项</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在个人加项、分组加项时，能根据维护的检查种类和危害因素快速选择对应的职业病体检项目。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370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检查结论</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总检时，查看检查结果，可单独选择检查结论、填写处理意见等。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371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个人报告</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将个人体检中的基本信息、职业病信息、检查结果、检查结论等汇总，形成职业病体检报告。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372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团体报告</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将团体中属于职业病体检人员的体检结果汇总，包含各个检查种类，危害因素下的人员、项目、目标疾病、各个检查结论的人次等。</w:t>
                  </w:r>
                  <w:r>
                    <w:br w:type="textWrapping"/>
                  </w:r>
                  <w:r>
                    <w:rPr>
                      <w:color w:val="000000"/>
                      <w:sz w:val="22"/>
                    </w:rPr>
                    <w:t>根据国家规范及医院情况，使工作人员能采集受检者职业病相关信息，同时快捷的完成对职业健康体检的检查工作。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373</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体检数据设置</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体检项目维护</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站点维护：维护体检中心的诊室信息</w:t>
                  </w:r>
                  <w:r>
                    <w:br w:type="textWrapping"/>
                  </w:r>
                  <w:r>
                    <w:rPr>
                      <w:color w:val="000000"/>
                      <w:sz w:val="22"/>
                    </w:rPr>
                    <w:t>站点和项目组合：维护诊室可开展的检查项目。</w:t>
                  </w:r>
                  <w:r>
                    <w:br w:type="textWrapping"/>
                  </w:r>
                  <w:r>
                    <w:rPr>
                      <w:color w:val="000000"/>
                      <w:sz w:val="22"/>
                    </w:rPr>
                    <w:t>细项维护：维护检查项目的细项。</w:t>
                  </w:r>
                  <w:r>
                    <w:br w:type="textWrapping"/>
                  </w:r>
                  <w:r>
                    <w:rPr>
                      <w:color w:val="000000"/>
                      <w:sz w:val="22"/>
                    </w:rPr>
                    <w:t>细项选择维护：维护医生录入时细项的关键词。</w:t>
                  </w:r>
                  <w:r>
                    <w:br w:type="textWrapping"/>
                  </w:r>
                  <w:r>
                    <w:rPr>
                      <w:color w:val="000000"/>
                      <w:sz w:val="22"/>
                    </w:rPr>
                    <w:t>大项和细项组合关系对照：维护检查项目和细项的对应关系。</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374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医生建议</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建议级别维护：专家建议的级别的维护。</w:t>
                  </w:r>
                  <w:r>
                    <w:br w:type="textWrapping"/>
                  </w:r>
                  <w:r>
                    <w:rPr>
                      <w:color w:val="000000"/>
                      <w:sz w:val="22"/>
                    </w:rPr>
                    <w:t>建议关键词维护：总检初审复审提交后高亮显示的关键词。</w:t>
                  </w:r>
                  <w:r>
                    <w:br w:type="textWrapping"/>
                  </w:r>
                  <w:r>
                    <w:rPr>
                      <w:color w:val="000000"/>
                      <w:sz w:val="22"/>
                    </w:rPr>
                    <w:t>专家建议维护：新增或修改专家建议；</w:t>
                  </w:r>
                  <w:r>
                    <w:br w:type="textWrapping"/>
                  </w:r>
                  <w:r>
                    <w:rPr>
                      <w:color w:val="000000"/>
                      <w:sz w:val="22"/>
                    </w:rPr>
                    <w:t>维护专家建议条件；维护专家建议和疾病的对照。</w:t>
                  </w:r>
                  <w:r>
                    <w:br w:type="textWrapping"/>
                  </w:r>
                  <w:r>
                    <w:rPr>
                      <w:color w:val="000000"/>
                      <w:sz w:val="22"/>
                    </w:rPr>
                    <w:t>疾病维护：维护疾病。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375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住院体检设置</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会诊费接受科室设置</w:t>
                  </w:r>
                  <w:r>
                    <w:br w:type="textWrapping"/>
                  </w:r>
                  <w:r>
                    <w:rPr>
                      <w:color w:val="000000"/>
                      <w:sz w:val="22"/>
                    </w:rPr>
                    <w:t>会诊费设置</w:t>
                  </w:r>
                  <w:r>
                    <w:br w:type="textWrapping"/>
                  </w:r>
                  <w:r>
                    <w:rPr>
                      <w:color w:val="000000"/>
                      <w:sz w:val="22"/>
                    </w:rPr>
                    <w:t>住院医生维护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376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体检医嘱套维护</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新增或修改体检套餐</w:t>
                  </w:r>
                  <w:r>
                    <w:br w:type="textWrapping"/>
                  </w:r>
                  <w:r>
                    <w:rPr>
                      <w:color w:val="000000"/>
                      <w:sz w:val="22"/>
                    </w:rPr>
                    <w:t>网上套餐维护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377</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导检单顺序设置</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打印指引单时项目归属的导检单顺序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378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客户VIP等级维护</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维护体检等级，不同等级，收费和体检流程都有所不同，方便系统管理。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379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体检医嘱扩展</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体检医嘱价格及赠送的维护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380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体检医生权限管理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维护体检医生检查的诊室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381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短信模板维护</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按照短信类型和VIP等级维护短信息的模板内容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382</w:t>
                  </w:r>
                </w:p>
              </w:tc>
              <w:tc>
                <w:tcPr>
                  <w:tcW w:w="464" w:type="dxa"/>
                  <w:vMerge w:val="continue"/>
                  <w:tcBorders>
                    <w:top w:val="nil"/>
                    <w:left w:val="nil"/>
                    <w:bottom w:val="single" w:color="000000" w:sz="4" w:space="0"/>
                    <w:right w:val="single" w:color="000000" w:sz="4" w:space="0"/>
                  </w:tcBorders>
                </w:tcPr>
                <w:p/>
              </w:tc>
              <w:tc>
                <w:tcPr>
                  <w:tcW w:w="8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体检配置</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体检配置</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全局配置科室配置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383</w:t>
                  </w:r>
                </w:p>
              </w:tc>
              <w:tc>
                <w:tcPr>
                  <w:tcW w:w="464" w:type="dxa"/>
                  <w:vMerge w:val="continue"/>
                  <w:tcBorders>
                    <w:top w:val="nil"/>
                    <w:left w:val="nil"/>
                    <w:bottom w:val="single" w:color="000000" w:sz="4" w:space="0"/>
                    <w:right w:val="single" w:color="000000" w:sz="4" w:space="0"/>
                  </w:tcBorders>
                </w:tcPr>
                <w:p/>
              </w:tc>
              <w:tc>
                <w:tcPr>
                  <w:tcW w:w="8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健康问卷配置</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健康问卷配置</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系统自带专业检前问卷、便于知晓客户的基本情况、为医生给客户推荐体检项目时提供依据，此处维护问卷具体内容。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384</w:t>
                  </w:r>
                </w:p>
              </w:tc>
              <w:tc>
                <w:tcPr>
                  <w:tcW w:w="46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医疗管理</w:t>
                  </w: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会诊管理系统(医生会诊)</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医生会诊</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针对患者的疑难病症，医生发起会诊申请，邀请院内/院间/院际其他科室医生共同综合病情商讨制定治疗方案，会诊申请经审核、接收、完成、评价、确认等流程，实现医生会诊过程的信息化。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385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会诊申请</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申请人员：医生。</w:t>
                  </w:r>
                  <w:r>
                    <w:br w:type="textWrapping"/>
                  </w:r>
                  <w:r>
                    <w:rPr>
                      <w:color w:val="000000"/>
                      <w:sz w:val="22"/>
                    </w:rPr>
                    <w:t>会诊类型：单科会诊、多科会诊、院际会诊、PICC会诊。</w:t>
                  </w:r>
                  <w:r>
                    <w:br w:type="textWrapping"/>
                  </w:r>
                  <w:r>
                    <w:rPr>
                      <w:color w:val="000000"/>
                      <w:sz w:val="22"/>
                    </w:rPr>
                    <w:t>会诊性质：普通(急)、专家(急)、普通、专家；</w:t>
                  </w:r>
                  <w:r>
                    <w:br w:type="textWrapping"/>
                  </w:r>
                  <w:r>
                    <w:rPr>
                      <w:color w:val="000000"/>
                      <w:sz w:val="22"/>
                    </w:rPr>
                    <w:t>病情摘要：可直接引用患者诊断、检验、检查、医嘱、病理信息。</w:t>
                  </w:r>
                  <w:r>
                    <w:br w:type="textWrapping"/>
                  </w:r>
                  <w:r>
                    <w:rPr>
                      <w:color w:val="000000"/>
                      <w:sz w:val="22"/>
                    </w:rPr>
                    <w:t>会诊费用：灵活配置是否收费和何种费用。</w:t>
                  </w:r>
                  <w:r>
                    <w:br w:type="textWrapping"/>
                  </w:r>
                  <w:r>
                    <w:rPr>
                      <w:color w:val="000000"/>
                      <w:sz w:val="22"/>
                    </w:rPr>
                    <w:t>消息推送：发送会诊给指定会诊医生或会诊科室发消息；可院内、院间、院际发起会诊申请。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386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会诊删除</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申请医生对保存状态不再需要的会诊申请记录可进行删除。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387</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会诊取消</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申请医生对发送、驳回、拒绝、取消接收状态的会诊申请记录可进行取消。</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388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会诊审核</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审核：约定会诊地点时间人员等信息。</w:t>
                  </w:r>
                  <w:r>
                    <w:br w:type="textWrapping"/>
                  </w:r>
                  <w:r>
                    <w:rPr>
                      <w:color w:val="000000"/>
                      <w:sz w:val="22"/>
                    </w:rPr>
                    <w:t>取消审核：对审核后的会诊记录取消审核；取消审核后可再审核。驳回：对不合适会诊申请填写驳回意见驳回申请。</w:t>
                  </w:r>
                  <w:r>
                    <w:br w:type="textWrapping"/>
                  </w:r>
                  <w:r>
                    <w:rPr>
                      <w:color w:val="000000"/>
                      <w:sz w:val="22"/>
                    </w:rPr>
                    <w:t>灵活配置：会诊流程中是否需要审核由会诊工作流的配置决定。当配置需要审核时，未审核的会诊，会诊医生列表不显示。</w:t>
                  </w:r>
                  <w:r>
                    <w:br w:type="textWrapping"/>
                  </w:r>
                  <w:r>
                    <w:rPr>
                      <w:color w:val="000000"/>
                      <w:sz w:val="22"/>
                    </w:rPr>
                    <w:t>打印：可打印某会诊。</w:t>
                  </w:r>
                  <w:r>
                    <w:br w:type="textWrapping"/>
                  </w:r>
                  <w:r>
                    <w:rPr>
                      <w:color w:val="000000"/>
                      <w:sz w:val="22"/>
                    </w:rPr>
                    <w:t>审核列表：提供开始日期、结束日期、请会诊科室、登记号、会诊类型、审核状态条件查询功能。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389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申请单列表</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申请列表：本人申请的会诊记录；显示合计。</w:t>
                  </w:r>
                  <w:r>
                    <w:br w:type="textWrapping"/>
                  </w:r>
                  <w:r>
                    <w:rPr>
                      <w:color w:val="000000"/>
                      <w:sz w:val="22"/>
                    </w:rPr>
                    <w:t>会诊列表：被邀请参与会诊的记录；显示合计。</w:t>
                  </w:r>
                  <w:r>
                    <w:br w:type="textWrapping"/>
                  </w:r>
                  <w:r>
                    <w:rPr>
                      <w:color w:val="000000"/>
                      <w:sz w:val="22"/>
                    </w:rPr>
                    <w:t>默认显示昨天今天两天的会诊记录。可按开始日期、结束日期查询一定时间段内的会诊记录列表，可按会诊状态、登记号快捷条件查询。超时显示：普通会诊24小时，急会诊2小时。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390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会诊接收</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会诊医生接收申请医生发起的会诊，共同为患者疑难病症进行诊治。</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391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取消接收</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会诊医生接收会诊后可取消接收该会诊。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392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拒绝接收</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会诊医生可拒绝接收会诊申请。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393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会诊完成</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完成人：会诊医生。</w:t>
                  </w:r>
                  <w:r>
                    <w:br w:type="textWrapping"/>
                  </w:r>
                  <w:r>
                    <w:rPr>
                      <w:color w:val="000000"/>
                      <w:sz w:val="22"/>
                    </w:rPr>
                    <w:t>预完成功能：实现对正在编辑的会诊结论随时保存。</w:t>
                  </w:r>
                  <w:r>
                    <w:br w:type="textWrapping"/>
                  </w:r>
                  <w:r>
                    <w:rPr>
                      <w:color w:val="000000"/>
                      <w:sz w:val="22"/>
                    </w:rPr>
                    <w:t>保存模板功能：会诊结论可保存为科室模板、个人模板。</w:t>
                  </w:r>
                  <w:r>
                    <w:br w:type="textWrapping"/>
                  </w:r>
                  <w:r>
                    <w:rPr>
                      <w:color w:val="000000"/>
                      <w:sz w:val="22"/>
                    </w:rPr>
                    <w:t>选择模板功能：会诊可以可以选择保存过的模板，简单方便。</w:t>
                  </w:r>
                  <w:r>
                    <w:br w:type="textWrapping"/>
                  </w:r>
                  <w:r>
                    <w:rPr>
                      <w:color w:val="000000"/>
                      <w:sz w:val="22"/>
                    </w:rPr>
                    <w:t>会诊结论引用功能：可对患者诊断、检验、检查、医嘱、病理等内容进行引用，方便快捷。</w:t>
                  </w:r>
                  <w:r>
                    <w:br w:type="textWrapping"/>
                  </w:r>
                  <w:r>
                    <w:rPr>
                      <w:color w:val="000000"/>
                      <w:sz w:val="22"/>
                    </w:rPr>
                    <w:t>会诊费用：灵活配置是否收费和收取何种费用。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394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取消完成</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会诊医生完成会诊后可以取消完成。取消完成的会诊可预完成、完成。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395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会诊确认</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申请医生对会诊医生完成的会诊进行会诊结果确认。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396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会诊评价(双评价)</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会诊医生评价：会诊医生对该会诊关于满意度等的评价。</w:t>
                  </w:r>
                  <w:r>
                    <w:br w:type="textWrapping"/>
                  </w:r>
                  <w:r>
                    <w:rPr>
                      <w:color w:val="000000"/>
                      <w:sz w:val="22"/>
                    </w:rPr>
                    <w:t>申请医生评价：申请医生对该会诊关于满意度等的评价。</w:t>
                  </w:r>
                  <w:r>
                    <w:br w:type="textWrapping"/>
                  </w:r>
                  <w:r>
                    <w:rPr>
                      <w:color w:val="000000"/>
                      <w:sz w:val="22"/>
                    </w:rPr>
                    <w:t>会诊科室评价表：会诊医生对该会诊按评价表进行评价；评价内容灵活配置；独立于会诊流程。</w:t>
                  </w:r>
                  <w:r>
                    <w:br w:type="textWrapping"/>
                  </w:r>
                  <w:r>
                    <w:rPr>
                      <w:color w:val="000000"/>
                      <w:sz w:val="22"/>
                    </w:rPr>
                    <w:t>申请科室评价表：申请医生对该会诊按评价表进行评价；评价内容灵活配置；独立于会诊流程。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397</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抗菌药会诊</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因抗生素类药物发起的会诊。会诊决定是否同意抗菌药的使用。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398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会诊打印</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打印医生会诊申请单。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399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状态视图</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动态显示会诊发送(审核)、接收、完成、确认、评价的会诊流程当前进度和已有历史操作人、操作时间。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400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开启授权</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申请医生对会诊科室授权病历/医嘱的权限，按小时授权，可关闭/开启授权，会诊医生拥有生效中的授权才可查看病历或录入医嘱；病历授权可按配置是否发送时自动开启72小时授权。</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401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查看病历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实现会诊医生也可以查看患者病历，便于掌握患者病情。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402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医嘱录入</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实现会诊医生也可以录入医嘱。涵盖医嘱录入和中草药录入。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403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检查检验</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实现会诊医生可以查看患者历次检验和检查的具体信息，查看每一次的检验报告和检查结果。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404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历次会诊</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查询该患者历次会诊情况，方便医生了解更全面的患者情况。提供打印功能。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405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查询</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会诊查询：会诊历史记录的查询。可按开始时间、结束时间查询一定时间段的会诊记录；可按申请科室、会诊科室、会诊状态条件查询；可弹窗查看会诊明细。支持导出功能。</w:t>
                  </w:r>
                  <w:r>
                    <w:br w:type="textWrapping"/>
                  </w:r>
                  <w:r>
                    <w:rPr>
                      <w:color w:val="000000"/>
                      <w:sz w:val="22"/>
                    </w:rPr>
                    <w:t>会诊日志：会诊流转情况展示。全局动态掌控各状态变化和变化的日期、时间、操作人等信息。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406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统计</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会诊统计：会诊历史记录的统计。可按开始时间、结束时间统计一定时间段内的会诊记录；可按统计类型(按照申请科室/按照接收科室)、会诊类型、会诊性质、显示明细勾选与否条件查询统计。主要展示申请科室、会诊职称、会诊医师、会诊次数、超时次数、会诊金额。可查看会诊次数明细和各会诊明细；超时次数亦然。支持导出功能。</w:t>
                  </w:r>
                  <w:r>
                    <w:br w:type="textWrapping"/>
                  </w:r>
                  <w:r>
                    <w:rPr>
                      <w:color w:val="000000"/>
                      <w:sz w:val="22"/>
                    </w:rPr>
                    <w:t>会诊明细统计：会诊历史记录明细的统计。可按开始日期、结束时间统计一定时间段内的会诊明细记录；可按全部、发送、完成、确认、未完成、超时完成条件查询统计。主要展示会诊类型、申请科室、申请医生、申请日期、申请时间、</w:t>
                  </w:r>
                  <w:r>
                    <w:br w:type="textWrapping"/>
                  </w:r>
                  <w:r>
                    <w:rPr>
                      <w:color w:val="000000"/>
                      <w:sz w:val="22"/>
                    </w:rPr>
                    <w:t>会诊日期、会诊时间、患者基本信息、病情摘要、会诊理由及要求、状态、会诊科室、完成时间、确认医生、确认时间。支持导出功能。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407</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会诊管理系统(护士会诊)</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护士会诊</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针对患者的疑难病症，护士发起会诊申请，邀请其他科室护士共同商讨制定治疗方案，会诊申请经审核、接收、完成、评价等流程，实现护士会诊过程的信息化。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408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会诊申请</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申请人员：护士。</w:t>
                  </w:r>
                  <w:r>
                    <w:br w:type="textWrapping"/>
                  </w:r>
                  <w:r>
                    <w:rPr>
                      <w:color w:val="000000"/>
                      <w:sz w:val="22"/>
                    </w:rPr>
                    <w:t>会诊类型：护士会诊。</w:t>
                  </w:r>
                  <w:r>
                    <w:br w:type="textWrapping"/>
                  </w:r>
                  <w:r>
                    <w:rPr>
                      <w:color w:val="000000"/>
                      <w:sz w:val="22"/>
                    </w:rPr>
                    <w:t>会诊性质：普通(急)、专家(急)、普通、专家。</w:t>
                  </w:r>
                  <w:r>
                    <w:br w:type="textWrapping"/>
                  </w:r>
                  <w:r>
                    <w:rPr>
                      <w:color w:val="000000"/>
                      <w:sz w:val="22"/>
                    </w:rPr>
                    <w:t>病情摘要：可直接引用患者诊断、检验、检查、医嘱、病理信息。会诊费用：灵活配置是否收费和何种费用。</w:t>
                  </w:r>
                  <w:r>
                    <w:br w:type="textWrapping"/>
                  </w:r>
                  <w:r>
                    <w:rPr>
                      <w:color w:val="000000"/>
                      <w:sz w:val="22"/>
                    </w:rPr>
                    <w:t>消息推送：发送会诊给指定会诊护士或会诊科室发消息；</w:t>
                  </w:r>
                  <w:r>
                    <w:br w:type="textWrapping"/>
                  </w:r>
                  <w:r>
                    <w:rPr>
                      <w:color w:val="000000"/>
                      <w:sz w:val="22"/>
                    </w:rPr>
                    <w:t>专科小组：灵活配置维护小组成员，选择专科小组，该小组成员批量自动带入会诊人员列表，省去逐个选择会诊护士的操作。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409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会诊取消</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申请护士对发送、驳回、拒绝、取消接收状态的会诊申请记录可进行取消。</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410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会诊审核</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审核：约定会诊地点时间人员等信息。</w:t>
                  </w:r>
                  <w:r>
                    <w:br w:type="textWrapping"/>
                  </w:r>
                  <w:r>
                    <w:rPr>
                      <w:color w:val="000000"/>
                      <w:sz w:val="22"/>
                    </w:rPr>
                    <w:t>取消审核：对审核后的会诊记录取消审核；取消审核后可再审核。驳回：对不合适会诊申请填写驳回意见驳回申请。</w:t>
                  </w:r>
                  <w:r>
                    <w:br w:type="textWrapping"/>
                  </w:r>
                  <w:r>
                    <w:rPr>
                      <w:color w:val="000000"/>
                      <w:sz w:val="22"/>
                    </w:rPr>
                    <w:t>灵活配置：会诊流程中是否需要审核由会诊工作流的配置决定。当配置需要审核时，未审核的会诊，护士会诊列表不显示。</w:t>
                  </w:r>
                  <w:r>
                    <w:br w:type="textWrapping"/>
                  </w:r>
                  <w:r>
                    <w:rPr>
                      <w:color w:val="000000"/>
                      <w:sz w:val="22"/>
                    </w:rPr>
                    <w:t>打印：可打印某会诊。</w:t>
                  </w:r>
                  <w:r>
                    <w:br w:type="textWrapping"/>
                  </w:r>
                  <w:r>
                    <w:rPr>
                      <w:color w:val="000000"/>
                      <w:sz w:val="22"/>
                    </w:rPr>
                    <w:t>审核列表：提供开始日期、结束日期、请会诊科室、登记号、会诊类型、审核状态条件查询功能。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411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申请单列表</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申请列表：本人申请的会诊记录；显示合计。</w:t>
                  </w:r>
                  <w:r>
                    <w:br w:type="textWrapping"/>
                  </w:r>
                  <w:r>
                    <w:rPr>
                      <w:color w:val="000000"/>
                      <w:sz w:val="22"/>
                    </w:rPr>
                    <w:t>会诊列表：被邀请参与会诊的记录；显示合计。</w:t>
                  </w:r>
                  <w:r>
                    <w:br w:type="textWrapping"/>
                  </w:r>
                  <w:r>
                    <w:rPr>
                      <w:color w:val="000000"/>
                      <w:sz w:val="22"/>
                    </w:rPr>
                    <w:t>默认显示昨天今天两天的会诊记录。可按开始日期、结束日期查询一定时间段内的会诊记录列表，可按会诊状态、登记号快捷条件查询。超时显示：普通会诊24小时，急会诊2小时。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412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会诊接收</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会诊护士接收申请护士发起的会诊，共同为患者疑难病症进行诊治。</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413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取消接收</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会诊护士接收会诊后可取消接收该会诊。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414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拒绝接收</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会诊护士可拒绝接收会诊申请。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415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会诊完成</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会诊讨论完毕后会诊护士对会诊进行完成。按配置是否收费和收取何种费用。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416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会诊确认</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申请护士对会诊护士完成后的会诊进行确认。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417</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会诊评价(双评价)</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会诊护士评价：会诊护士对该会诊关于满意度等的评价。</w:t>
                  </w:r>
                  <w:r>
                    <w:br w:type="textWrapping"/>
                  </w:r>
                  <w:r>
                    <w:rPr>
                      <w:color w:val="000000"/>
                      <w:sz w:val="22"/>
                    </w:rPr>
                    <w:t>请会诊护士评价：申请护士对该会诊关于满意度等的评价。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418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会诊打印</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打印护士会诊申请单。</w:t>
                  </w:r>
                  <w:r>
                    <w:br w:type="textWrapping"/>
                  </w:r>
                  <w:r>
                    <w:rPr>
                      <w:color w:val="000000"/>
                      <w:sz w:val="22"/>
                    </w:rPr>
                    <w:t>状态视图</w:t>
                  </w:r>
                  <w:r>
                    <w:br w:type="textWrapping"/>
                  </w:r>
                  <w:r>
                    <w:rPr>
                      <w:color w:val="000000"/>
                      <w:sz w:val="22"/>
                    </w:rPr>
                    <w:t>动态显示会诊发送(审核)、接收、完成、确认、评价的会诊流程当前进度和已有历史操作人、操作时间。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419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状态视图</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动态显示会诊发送(审核)、接收、完成、确认、评价的会诊流程当前进度和已有历史操作人、操作时间。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420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595959"/>
                      <w:sz w:val="22"/>
                    </w:rPr>
                    <w:t>历次会诊</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查询该患者历次会诊情况，方便护士掌握更全面的患者会诊信息。提供打印功能。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421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查询</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会诊查询：会诊历史记录的查询。可按开始时间、结束时间查询一定时间段的会诊记录；可按申请科室、会诊科室、会诊状态条件查询；可弹窗查看会诊明细。支持导出功能。</w:t>
                  </w:r>
                  <w:r>
                    <w:br w:type="textWrapping"/>
                  </w:r>
                  <w:r>
                    <w:rPr>
                      <w:color w:val="000000"/>
                      <w:sz w:val="22"/>
                    </w:rPr>
                    <w:t>会诊日志：会诊流转情况展示。全局动态掌控各状态变化和变化的日期、时间、操作人等信息。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422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统计</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会诊统计：会诊历史记录的统计。可按开始时间、结束时间统计一定时间段内的会诊记录；可按统计类型(按照申请科室/按照接收科室)、会诊类型、会诊性质、显示明细勾选与否条件查询统计。主要展示申请科室、会诊职称、会诊医师、会诊次数、超时次数、会诊金额。可查看会诊次数明细和各会诊明细；超时次数亦然。支持导出功能。</w:t>
                  </w:r>
                  <w:r>
                    <w:br w:type="textWrapping"/>
                  </w:r>
                  <w:r>
                    <w:rPr>
                      <w:color w:val="000000"/>
                      <w:sz w:val="22"/>
                    </w:rPr>
                    <w:t>会诊明细统计：会诊历史记录明细的统计。可按开始日期、结束时间统计一定时间段内的会诊明细记录；可按全部、发送、完成、确认、未完成、超时完成条件查询统计。主要展示会诊类型、申请科室、申请医生、申请日期、申请时间、会诊日期、会诊时间、患者基本信息、病情摘要、会诊理由及要求、状态、会诊科室、完成时间、确认医生、确认时间。支持导出功能。</w:t>
                  </w:r>
                  <w:r>
                    <w:br w:type="textWrapping"/>
                  </w:r>
                  <w:r>
                    <w:rPr>
                      <w:color w:val="000000"/>
                      <w:sz w:val="22"/>
                    </w:rPr>
                    <w:t>申请界面提供多种患者历史信息查看，方便医护人员书写申请内容；处理界面提供大量工能按钮，同过简单点击即可医嘱录入、检验检查查看等功能；处理列表分类显示，可快速查询到需处理会诊，缩减查询时间，提高工作效率。</w:t>
                  </w:r>
                  <w:r>
                    <w:br w:type="textWrapping"/>
                  </w:r>
                  <w:r>
                    <w:rPr>
                      <w:color w:val="000000"/>
                      <w:sz w:val="22"/>
                    </w:rPr>
                    <w:t>类型的支持：从医护人员角度可支持：医生会诊和护士会诊；从会诊类型角度可支持：单科会诊、多科会诊、抗生素会诊、院际会诊和护士会诊；从会诊性质方面可支持：平会诊、急会诊。</w:t>
                  </w:r>
                  <w:r>
                    <w:br w:type="textWrapping"/>
                  </w:r>
                  <w:r>
                    <w:rPr>
                      <w:color w:val="000000"/>
                      <w:sz w:val="22"/>
                    </w:rPr>
                    <w:t>流程的支持：设定前置条件，可按照医院不同业务流程进行相应改变。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423</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皮试管理系统</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患者信息</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包括患者姓名、年龄、性别、病历号等信息。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424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皮试处理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对已经收过皮试项目费的病人进行皮试处理。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425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皮试结果</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包括患者ID、皮试结果、操作人员等信息。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426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皮试历史记录查询</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包括患者ID、皮试时间、结果等信息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427</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皮试时间设置</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设置皮试所需时间和相应药品皮试所需的皮试时间。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428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用户设置</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从实际出发，对于不同的人员要对该系统进行各种操作，系统管理员可以通过设置多个操作员，共同使用该系统。</w:t>
                  </w:r>
                  <w:r>
                    <w:br w:type="textWrapping"/>
                  </w:r>
                  <w:r>
                    <w:rPr>
                      <w:color w:val="000000"/>
                      <w:sz w:val="22"/>
                    </w:rPr>
                    <w:t>在“系统用户管理模块中，对使用该系统的用户组及其用户进行设置，要求根据使用权限的不同建立不同的组，并在相应组的基础上建立用户。</w:t>
                  </w:r>
                  <w:r>
                    <w:br w:type="textWrapping"/>
                  </w:r>
                  <w:r>
                    <w:rPr>
                      <w:color w:val="000000"/>
                      <w:sz w:val="22"/>
                    </w:rPr>
                    <w:t>在“系统权限管理模块中，为不同的用户组分配使用权限。同一用户组具有相同的操作权限。权限分配通过鼠标右键完成，其中打/的菜单项表示有权使用</w:t>
                  </w:r>
                  <w:r>
                    <w:br w:type="textWrapping"/>
                  </w:r>
                  <w:r>
                    <w:rPr>
                      <w:color w:val="000000"/>
                      <w:sz w:val="22"/>
                    </w:rPr>
                    <w:t>各操作员就可以不同的用户名登录该系统。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429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系统设置</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设置皮试点所在的科室。</w:t>
                  </w:r>
                  <w:r>
                    <w:br w:type="textWrapping"/>
                  </w:r>
                  <w:r>
                    <w:rPr>
                      <w:color w:val="000000"/>
                      <w:sz w:val="22"/>
                    </w:rPr>
                    <w:t>设置门诊医生站提交过来的处方的有效期限需输入过敏批号：打上勾表示，当皮试结果为“阳”，性时，需要输入过敏批号，不打勾，则表示，当皮试结果为“阳”性时，过敏批号：可输可不输。</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430</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消息管理平台子系统</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基于消息的传递</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基于消息的传递：要求依靠消息传递信息，消息也会被持久化，同时支持消息的队列管理、消息的同步、任务识别、消息的跟踪、消息的定时发送、事件处理、通知等功能。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431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支持同步和异步交互方式</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支持同步和异步交互方式：要求以同步方式发出的请求消息要等待应答消息到达才继续下面的传递。以异步方式发出的请求消息可以不需要应答，也可以需要应答但不等待，应答消息到达时再处理。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432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基于消息内容的路由规则</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基于消息内容的路由规则：要求路由和基于规则的流量控制能力可用户定制和扩展，能轻松的支持最简单和最复杂的集成环境。</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433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数据格式转换</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数据格式转换是整合平台将信息和数据从一种格式转换为另一种的能力。</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434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值域转换</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要求实现值域转换映射。</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435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消息监控</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要求提供图形化消息监控界面，实时查看消息负载及消息异常状况等内容。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436</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临床路径管理系统</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表单导入</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系统支持导入特定格式的excel表单，以简化制作表单过程。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437</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表单维护</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系统支持对表单基本信息、准入信息、阶段信息、项目信息、医嘱项目等进行增加、修改、删除操作。支持表单版本新建、发布、删除、导出操作。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438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出入径管理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系统支持两种入径方式，一是提醒入径，即在临床医生录入诊断时，自动判断是否符合入径标准，如果符合则弹出提示，选择相应路径后入径；另一种主动入径，即直接打开临床路径页签，选择路径后进入执行页面。在提醒入径时，可以选择不入径原因，做不入径申请。当路径执行过程中出现重大变异，不适合继续执行时，可以做出径操作。在出径时，需要选择出径原因类型，并填写具体原因。当表单各阶段内容都执行完后，可以进行完成操作，标志本次临床路径正常结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439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表单执行</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进入临床路径后，护士可以对表单中的主要护理工作进程执行、撤销操作；医生可以对表单中的主要诊疗工作和重点医嘱进行执行、撤销操作。在每阶段执行结束后医生、护士将分别做签名操作，表示本阶段工作已经完成，并自动进入到下一个阶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440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添加变异</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首先，在医生录入医嘱时，系统将自动判断是否为表单外的医嘱，如果是则弹出提示，需要为每条表单外医嘱添加变异原因；其次，在每阶段结束前签名时，系统会筛查出未执行的项目，提醒医生、护士去执行或者添加不执行的变异原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441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表单打印</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系统支持两种打印，一是打印患者知情同意书，二是打印表单执行记录。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442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查询统计</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系统支持按入径日期、科室、状态(入径、出径、完成)查询出入径记录；支持按申请日期、申请类型(不入径申请、出径申请)、申请状态(拒绝、通过)查询申请记录。同时支持按科室或者病种统计临床路径月报表，其中数据包括科室、路径、病种、入径率、完成率、出径率、变异率、费用、住院夭数等信息。</w:t>
                  </w:r>
                  <w:r>
                    <w:br w:type="textWrapping"/>
                  </w:r>
                  <w:r>
                    <w:rPr>
                      <w:color w:val="000000"/>
                      <w:sz w:val="22"/>
                    </w:rPr>
                    <w:t>临床路径管理系统成功实施后，可对纸质临床路径表单进行有效的电子化，简化临床医护人员制作表单、执行表单的过程。同时，医务科管理人员可以实时查看全院各个科室出入径情况，统计分析各项数据，这为医院对临床路径的管理和研究提供坚实基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443</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院感染管理系统</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系统配置</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设置系统的基础数据，院感疑似筛查规则和常用短语对照，对系统进行数据维护。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444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综合监测</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包括疑似病例筛查和感染暴发预警两个部分，基于感染诊断标准、数据标化及经验值，对住院患者感染相关染指标做到精准筛查，筛查出疑似感染及高度疑似感染患者，实现感染管理科对全院疑似感染患者的管理，督促临床做好感染报卡及感染患者的治疗及防护工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445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医院感染报告管理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临床医生根据患者病情综合分析或者感染科通过感染监测指标筛查，发现患者发生感染在疑似病例筛查界面给临床医生发送消息，临床医生接收到消息后分析判断，若患者发生医院感染，及时上报医院感染报告。院感科对医生上报的院感报告进行审核，退回，删除等操作，同时院感科也可以查看住院病人信息来判断病人是否感染，对于感染病例直接进行院感报告填报，以此来对感染病例进行信息化监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446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目标性监测</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重点监测感染高发、易发人群，对ICU、NICU、重点手术、多重耐药菌进行专项监测，根据感染指标分析，指导临床做好感染防护。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447</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细菌耐药性</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自动对微生物数据进行加载，结合最新多耐定义标准《医疗机构耐药菌MDR、XDR、PDR的国际标准化定义专家建议(草案)》进行多耐分析及时对临床科室和感控科预警提示，并显示出来，对多重耐药菌进行耐药菌的报告进行填报，提交，审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448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统计分析</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医院感染发病(例次)率、医院感染现患(例次)率、医院感染病例漏报率、多重耐药菌感染发生率、多重耐药菌感染发生率、多重耐药菌检出率、住院患者抗菌药物使用率、抗菌药物治疗前病原学送检率、I类切口手术部位感染率、血管内导管相关血流感染发病率、呼吸机相关肺炎发病率、导尿管相关泌尿系统感染发病率、手卫生依从率、CLABSI(血管内导管相关血流感染发病率)、VAP(呼吸机相关肺炎发病率)、CAUTI(导尿管相关泌尿系统感染发病率)等指标查询统计。注重报表的数据准确性、一致性；个性化报表单独分包，保证后续的升级，提供报表说明。</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449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手卫生依从性</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为洗手、卫生手消毒和外科手消毒的总称。其中洗手是指医务人员用肥皂或者皂液和流动水洗手，去除手部皮肤污垢、碎屑和部分致病菌的过程。依从性也称顺从性、顺应性，指医生按规定进行洗手，通过填写的手卫生信息进行统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450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横断面调查</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横断面调查又称横断面研究，因为所获得的描述性资料是在某一时点或在一个较短时间区间内收集的，所以它客观地反映了这一时点的疾病分布以及人们的某些特征与疾病之间的关联。根据横断面调查进行现患统计；医院感染率、社区感染率、医院感染病原体部位分布、抗菌药物使用情况、医院感染率现患趋势分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451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环境卫生学</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针对环境卫生学监测实现流程化管理，其中主要包括科室申请单和检验科工作站两部分。科室申请单对科室需要做的环境监测进行申请及打印条码，检验科工作站则对环境卫生学申请进行发放材料、接收标本、结果录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452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职业暴露</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职业暴露意思是指由于职业关系而暴露在危险因素中，从而有可能损害健康或危及生命的一种情况。医务人员职业暴露，是指医务人员在从事诊疗、护理活动过程中接触有毒、有害物质，或传染病病原体，从而损害健康或危及生命的一类职业暴露。而医务人员职业暴露，又分感染性职业暴露，放射性职业暴露，化学性(如消毒剂、某些化学药品)职业暴露，及其他职业暴露。</w:t>
                  </w:r>
                  <w:r>
                    <w:br w:type="textWrapping"/>
                  </w:r>
                  <w:r>
                    <w:rPr>
                      <w:color w:val="000000"/>
                      <w:sz w:val="22"/>
                    </w:rPr>
                    <w:t>实现了科室感染分布、病原菌分布、抗菌用药、IUC器械相关、手术相关感染质控指标等查询统计。注重报表的数据准确性、一致性；个性化报表单独分包，保证后续的升级；提供报表说明。统计指标集导航，快速定位统计指标，方便查找，提升用户体验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453</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传染病管理上报系统</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诊间填报</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要求支持临床医生在下诊断时，系统自动检查诊断是否传染病诊断，如果是传染病诊断，并根据传染病的分类、时效性要求、年龄要求、历史报告来判断强制报卡或提示报卡。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454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主动填报</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要求支持临床确诊传染病后主动报卡，登记病人基本信息、诊断信息等。其中病人基本信息大部分可从系统中自动提取，且保存报告时系统会进行数据完整性、正确性检测，保证数据的完整性、正确性。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455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报告查询</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要求支持可按照报告时间、科室、院区、报告状态进行传染病报告查询，查询结果包含报告基本信息和患者基本信息等，查询结果可导出，便于统计分析。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456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报告审核</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要求支持临床医生填报报告后，管理人员可在报告查询页面查到该份报告，打开报告对填写内容进行审核。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457</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报告导出和打印</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要求支持对于已经审核的报告，支持报告导出和打印，便于存档。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458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传染病监控</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要求支持基于临床诊断、检验结果、影像检查结果进行传染病筛查，结合传染病报卡情况筛查传染病漏报、误报，管理科室对筛查结果进行处置，处置结果反馈给临床科室，提示补录报卡或订正报卡。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459</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医务管理系统</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医务管理首页</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提供医务管理人员、科主任首页门户，展示患者动态变化数据、待办任务提醒及处理、快捷入口功能。</w:t>
                  </w:r>
                  <w:r>
                    <w:br w:type="textWrapping"/>
                  </w:r>
                  <w:r>
                    <w:rPr>
                      <w:color w:val="000000"/>
                      <w:sz w:val="22"/>
                    </w:rPr>
                    <w:t>具备门诊患者和住院患者每日动态数据查看和详情列表查看功能，类型包括在院患者、新入患者、出院患者、转入患者、转出患者、死亡患者、会诊患者、危急值、抢救人次、输血患者、手术患者、危重患者、关注患者。</w:t>
                  </w:r>
                  <w:r>
                    <w:br w:type="textWrapping"/>
                  </w:r>
                  <w:r>
                    <w:rPr>
                      <w:color w:val="000000"/>
                      <w:sz w:val="22"/>
                    </w:rPr>
                    <w:t>具备按日期、科室查看首页汇总指标数据功能。</w:t>
                  </w:r>
                  <w:r>
                    <w:br w:type="textWrapping"/>
                  </w:r>
                  <w:r>
                    <w:rPr>
                      <w:color w:val="000000"/>
                      <w:sz w:val="22"/>
                    </w:rPr>
                    <w:t>具备查看患者基本信息和患者诊疗信息功能，包括基本信息、诊断、体温、医嘱、住院病历、检验、检查、手术、入出科、危急值。</w:t>
                  </w:r>
                  <w:r>
                    <w:br w:type="textWrapping"/>
                  </w:r>
                  <w:r>
                    <w:rPr>
                      <w:color w:val="000000"/>
                      <w:sz w:val="22"/>
                    </w:rPr>
                    <w:t>具备根据不同角色设置首页展示板块功能，如医务科和科主任，按照门户标准化和门户个性化进行设置。</w:t>
                  </w:r>
                  <w:r>
                    <w:br w:type="textWrapping"/>
                  </w:r>
                  <w:r>
                    <w:rPr>
                      <w:color w:val="000000"/>
                      <w:sz w:val="22"/>
                    </w:rPr>
                    <w:t>具备集中展示待办任务、快捷入口功能。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460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医疗质量统计分析</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住院病历质量统计分析</w:t>
                  </w:r>
                  <w:r>
                    <w:br w:type="textWrapping"/>
                  </w:r>
                  <w:r>
                    <w:rPr>
                      <w:color w:val="000000"/>
                      <w:sz w:val="22"/>
                    </w:rPr>
                    <w:t>具备住院病历质量概览、住院病历时限质量监测、病历评分质量监测、病历问题整改监测、病历质控工作量统计功能。</w:t>
                  </w:r>
                  <w:r>
                    <w:br w:type="textWrapping"/>
                  </w:r>
                  <w:r>
                    <w:rPr>
                      <w:color w:val="000000"/>
                      <w:sz w:val="22"/>
                    </w:rPr>
                    <w:t>具备住院病历质量概览功能，可汇总展示终末病历评分质量指标、病历质量分布情况、时限完成率分布情况。</w:t>
                  </w:r>
                  <w:r>
                    <w:br w:type="textWrapping"/>
                  </w:r>
                  <w:r>
                    <w:rPr>
                      <w:color w:val="000000"/>
                      <w:sz w:val="22"/>
                    </w:rPr>
                    <w:t>具备住院病历时限完成情况监测及多维度统计分析功能，包括按科室、医生分别展示病历超时完成情况。</w:t>
                  </w:r>
                  <w:r>
                    <w:br w:type="textWrapping"/>
                  </w:r>
                  <w:r>
                    <w:rPr>
                      <w:color w:val="000000"/>
                      <w:sz w:val="22"/>
                    </w:rPr>
                    <w:t>具备住院病历质控问题整改情况监测及多维度统计分析功能，包括按科室、医生、质控细则分别展示病历质控问题整改情况。</w:t>
                  </w:r>
                  <w:r>
                    <w:br w:type="textWrapping"/>
                  </w:r>
                  <w:r>
                    <w:rPr>
                      <w:color w:val="000000"/>
                      <w:sz w:val="22"/>
                    </w:rPr>
                    <w:t>具备住院病历质量评分结果多维度统计分析功能，包括按科室、病区、诊疗组、医生分别统计分析及时归档、质控率、病历质控甲级率、乙级率、丙级率。</w:t>
                  </w:r>
                  <w:r>
                    <w:br w:type="textWrapping"/>
                  </w:r>
                  <w:r>
                    <w:rPr>
                      <w:color w:val="000000"/>
                      <w:sz w:val="22"/>
                    </w:rPr>
                    <w:t>具备住院病历质量评分质控工作量统计。</w:t>
                  </w:r>
                  <w:r>
                    <w:br w:type="textWrapping"/>
                  </w:r>
                  <w:r>
                    <w:rPr>
                      <w:color w:val="000000"/>
                      <w:sz w:val="22"/>
                    </w:rPr>
                    <w:t>具备统计结果图表展示功能，并可查看具体明细。住院手术质量统计分析住院手术质量统计分析需实现住院手术质量与安全指标统计、住院手术病历质量监测功能。</w:t>
                  </w:r>
                  <w:r>
                    <w:br w:type="textWrapping"/>
                  </w:r>
                  <w:r>
                    <w:rPr>
                      <w:color w:val="000000"/>
                      <w:sz w:val="22"/>
                    </w:rPr>
                    <w:t>具备对住院手术质量与安全指标进行统计功能，包括：手术人次、各级别手术量及占比、非计划再次手术监测例数、住院重大手术总例数、住院重大手术死亡例数、三四级手术、二次以上手术量。</w:t>
                  </w:r>
                  <w:r>
                    <w:br w:type="textWrapping"/>
                  </w:r>
                  <w:r>
                    <w:rPr>
                      <w:color w:val="000000"/>
                      <w:sz w:val="22"/>
                    </w:rPr>
                    <w:t>具备住院手术病历质量监测功能，包括按科室、病区、医生维度分别展示手术相关病历书写情况，如术前小结、术前记录、手术记录等完整性检查。</w:t>
                  </w:r>
                  <w:r>
                    <w:br w:type="textWrapping"/>
                  </w:r>
                  <w:r>
                    <w:rPr>
                      <w:color w:val="000000"/>
                      <w:sz w:val="22"/>
                    </w:rPr>
                    <w:t>具备统计结果图表展示功能，并可查看具体明细。会诊质量统计分析需提供会诊申请情况统计分析、会诊开展质量情况统计分析、会诊病历完成情况质量统计分析功能。</w:t>
                  </w:r>
                  <w:r>
                    <w:br w:type="textWrapping"/>
                  </w:r>
                  <w:r>
                    <w:rPr>
                      <w:color w:val="000000"/>
                      <w:sz w:val="22"/>
                    </w:rPr>
                    <w:t>具备会诊申请情况统计分析功能，包括按科室展示普通会诊、多科室联合会诊、院外大会诊开展情况并统计各类型会诊申请率、接收率、完成率。</w:t>
                  </w:r>
                  <w:r>
                    <w:br w:type="textWrapping"/>
                  </w:r>
                  <w:r>
                    <w:rPr>
                      <w:color w:val="000000"/>
                      <w:sz w:val="22"/>
                    </w:rPr>
                    <w:t>具备会诊开展质量情况统计分析功能，包括按科室对各类型会诊统计会诊完成情况、按时完成情况、会诊评价满意率。</w:t>
                  </w:r>
                  <w:r>
                    <w:br w:type="textWrapping"/>
                  </w:r>
                  <w:r>
                    <w:rPr>
                      <w:color w:val="000000"/>
                      <w:sz w:val="22"/>
                    </w:rPr>
                    <w:t>具备会诊病历完成情况与质量统计功能，包括按科室、病区、医生维度展示会诊病历缺陷情况和非会诊病历缺陷情况。</w:t>
                  </w:r>
                  <w:r>
                    <w:br w:type="textWrapping"/>
                  </w:r>
                  <w:r>
                    <w:rPr>
                      <w:color w:val="000000"/>
                      <w:sz w:val="22"/>
                    </w:rPr>
                    <w:t>具备统计结果图表展示功能，并可查看具体明细。临床路径质量统计分析</w:t>
                  </w:r>
                  <w:r>
                    <w:br w:type="textWrapping"/>
                  </w:r>
                  <w:r>
                    <w:rPr>
                      <w:color w:val="000000"/>
                      <w:sz w:val="22"/>
                    </w:rPr>
                    <w:t>需提供临床路径相关核心监测指标统计分析功能，按科室、病种维度展示入径率、完成率、退出率、退出率、变异率等。</w:t>
                  </w:r>
                  <w:r>
                    <w:br w:type="textWrapping"/>
                  </w:r>
                  <w:r>
                    <w:rPr>
                      <w:color w:val="000000"/>
                      <w:sz w:val="22"/>
                    </w:rPr>
                    <w:t>具备路径工作管理情况多维度统计分析功能，包括按科室、医生、病种分别展示符合率、入径率、完成率、退出率。</w:t>
                  </w:r>
                  <w:r>
                    <w:br w:type="textWrapping"/>
                  </w:r>
                  <w:r>
                    <w:rPr>
                      <w:color w:val="000000"/>
                      <w:sz w:val="22"/>
                    </w:rPr>
                    <w:t>具备路径质量管理情况多维度统计分析功能，包括按科室、病种分别展示治愈率、好转率、死亡人数、转院人数。</w:t>
                  </w:r>
                  <w:r>
                    <w:br w:type="textWrapping"/>
                  </w:r>
                  <w:r>
                    <w:rPr>
                      <w:color w:val="000000"/>
                      <w:sz w:val="22"/>
                    </w:rPr>
                    <w:t>具备经济效益管理情况多维度统计分析功能，包括按科室、路径分别展示人均费用、平均住院日。</w:t>
                  </w:r>
                  <w:r>
                    <w:br w:type="textWrapping"/>
                  </w:r>
                  <w:r>
                    <w:rPr>
                      <w:color w:val="000000"/>
                      <w:sz w:val="22"/>
                    </w:rPr>
                    <w:t>具备路径变异与退出情况多维度统计分析功能，包括按路径退出原因、路径变异原因分别展示退出人数、变异人数、退出率、变异率。</w:t>
                  </w:r>
                  <w:r>
                    <w:br w:type="textWrapping"/>
                  </w:r>
                  <w:r>
                    <w:rPr>
                      <w:color w:val="000000"/>
                      <w:sz w:val="22"/>
                    </w:rPr>
                    <w:t>具备统计结果图表展示功能，并可查看具体明细。抗菌药物统计分析需提供门急诊抗菌药物、住院抗菌药物、手术抗菌药物相关质量指标统计分析，包括使用人次、使用强度、使用品种等。</w:t>
                  </w:r>
                  <w:r>
                    <w:br w:type="textWrapping"/>
                  </w:r>
                  <w:r>
                    <w:rPr>
                      <w:color w:val="000000"/>
                      <w:sz w:val="22"/>
                    </w:rPr>
                    <w:t>具备门(急)诊抗菌药物情况多维度统计分析功能，包括按科室、医生分别展示抗菌药物处方人次、抗菌药物静脉使用人次、抗菌药物费用、人均使用抗菌药物品种数。</w:t>
                  </w:r>
                  <w:r>
                    <w:br w:type="textWrapping"/>
                  </w:r>
                  <w:r>
                    <w:rPr>
                      <w:color w:val="000000"/>
                      <w:sz w:val="22"/>
                    </w:rPr>
                    <w:t>具备住院抗菌药物使用情况多维度统计分析功能，包括按科室、医生分别展示人均使用抗菌药物费用、住院患者抗菌药物使用强度、住院抗菌药物使用率、特殊使用级抗菌药物使用率。</w:t>
                  </w:r>
                  <w:r>
                    <w:br w:type="textWrapping"/>
                  </w:r>
                  <w:r>
                    <w:rPr>
                      <w:color w:val="000000"/>
                      <w:sz w:val="22"/>
                    </w:rPr>
                    <w:t>具备手术患者抗菌药物情况多维度统计分析功能，包括按科室、医生分别展</w:t>
                  </w:r>
                  <w:r>
                    <w:br w:type="textWrapping"/>
                  </w:r>
                  <w:r>
                    <w:rPr>
                      <w:color w:val="000000"/>
                      <w:sz w:val="22"/>
                    </w:rPr>
                    <w:t>示I类切口患者使用抗菌药物例次及占比、I类切口手术预防使用抗菌药物例次及占比、手术患者使用抗菌药物例次及占比。</w:t>
                  </w:r>
                  <w:r>
                    <w:br w:type="textWrapping"/>
                  </w:r>
                  <w:r>
                    <w:rPr>
                      <w:color w:val="000000"/>
                      <w:sz w:val="22"/>
                    </w:rPr>
                    <w:t>具备统计结果图表展示功能，并可查看具体明细。住院输血质量统计分析需提供不同血液类型输血用量统计、输血费用统计以及输血患者输血记录文书完整性监测功能。</w:t>
                  </w:r>
                  <w:r>
                    <w:br w:type="textWrapping"/>
                  </w:r>
                  <w:r>
                    <w:rPr>
                      <w:color w:val="000000"/>
                      <w:sz w:val="22"/>
                    </w:rPr>
                    <w:t>具备输血量情况多维度统计分析功能，包括按科室、血液分类分别展示不同血液类型输血量、不同血型输血量。</w:t>
                  </w:r>
                  <w:r>
                    <w:br w:type="textWrapping"/>
                  </w:r>
                  <w:r>
                    <w:rPr>
                      <w:color w:val="000000"/>
                      <w:sz w:val="22"/>
                    </w:rPr>
                    <w:t>具备输血费用情况统计分析功能，包括按科室展示用血总量、用血费用。</w:t>
                  </w:r>
                  <w:r>
                    <w:br w:type="textWrapping"/>
                  </w:r>
                  <w:r>
                    <w:rPr>
                      <w:color w:val="000000"/>
                      <w:sz w:val="22"/>
                    </w:rPr>
                    <w:t>具备输血患者病历情况多维度统计分析功能，包括按科室、医生分别展示输血知情同意书、输血记录、输血不良反应的病历缺陷指标。</w:t>
                  </w:r>
                  <w:r>
                    <w:br w:type="textWrapping"/>
                  </w:r>
                  <w:r>
                    <w:rPr>
                      <w:color w:val="000000"/>
                      <w:sz w:val="22"/>
                    </w:rPr>
                    <w:t>具备大量输血患者情况多维度统计分析功能，包括按科室、医生分别展示大量输血申请、审批的指标。</w:t>
                  </w:r>
                  <w:r>
                    <w:br w:type="textWrapping"/>
                  </w:r>
                  <w:r>
                    <w:rPr>
                      <w:color w:val="000000"/>
                      <w:sz w:val="22"/>
                    </w:rPr>
                    <w:t>具备统计结果图表展示功能，并可查看具体明细。危急值质量统计分析</w:t>
                  </w:r>
                  <w:r>
                    <w:br w:type="textWrapping"/>
                  </w:r>
                  <w:r>
                    <w:rPr>
                      <w:color w:val="000000"/>
                      <w:sz w:val="22"/>
                    </w:rPr>
                    <w:t>需提供门诊危急值、住院危急值报告发布例数、接收情况、处理情况监测统计功能。</w:t>
                  </w:r>
                  <w:r>
                    <w:br w:type="textWrapping"/>
                  </w:r>
                  <w:r>
                    <w:rPr>
                      <w:color w:val="000000"/>
                      <w:sz w:val="22"/>
                    </w:rPr>
                    <w:t>具备门诊危急值报告监测及多维度统计分析功能，包括按科室、医生分别展示门诊危急值报告发布例数、接收情况及用时、处理情况及用时。</w:t>
                  </w:r>
                  <w:r>
                    <w:br w:type="textWrapping"/>
                  </w:r>
                  <w:r>
                    <w:rPr>
                      <w:color w:val="000000"/>
                      <w:sz w:val="22"/>
                    </w:rPr>
                    <w:t>具备住院危急值报告监测及多维度统计分析功能，包括按科室、病区、医生、</w:t>
                  </w:r>
                  <w:r>
                    <w:br w:type="textWrapping"/>
                  </w:r>
                  <w:r>
                    <w:rPr>
                      <w:color w:val="000000"/>
                      <w:sz w:val="22"/>
                    </w:rPr>
                    <w:t>发布科室分别展示住院危急值报告发布例数、接收情况及用时、处理情况及用时。</w:t>
                  </w:r>
                  <w:r>
                    <w:br w:type="textWrapping"/>
                  </w:r>
                  <w:r>
                    <w:rPr>
                      <w:color w:val="000000"/>
                      <w:sz w:val="22"/>
                    </w:rPr>
                    <w:t>具备已发布危急值报告对应危急值处理记录病历书写情况监测。具备统计结果图表展示功能，并可查看具体明细。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461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医疗质量管理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住院电子病历质量管理：</w:t>
                  </w:r>
                  <w:r>
                    <w:br w:type="textWrapping"/>
                  </w:r>
                  <w:r>
                    <w:rPr>
                      <w:color w:val="000000"/>
                      <w:sz w:val="22"/>
                    </w:rPr>
                    <w:t>需实现三级病历质控，医务质控人员对患者病历进行诊疗组病历质控、科室病历质控和全院病历质控功能。</w:t>
                  </w:r>
                  <w:r>
                    <w:br w:type="textWrapping"/>
                  </w:r>
                  <w:r>
                    <w:rPr>
                      <w:color w:val="000000"/>
                      <w:sz w:val="22"/>
                    </w:rPr>
                    <w:t>具备运行病历质控、终末病历质控功能，并能主动监测运行病历时限情况，具备自动质控、人工质控功能。</w:t>
                  </w:r>
                  <w:r>
                    <w:br w:type="textWrapping"/>
                  </w:r>
                  <w:r>
                    <w:rPr>
                      <w:color w:val="000000"/>
                      <w:sz w:val="22"/>
                    </w:rPr>
                    <w:t>具备重点质控患者抽查功能，包括病危、病重、手术、会诊、输血、抢救、分娩、死亡、危急值、大费用。</w:t>
                  </w:r>
                  <w:r>
                    <w:br w:type="textWrapping"/>
                  </w:r>
                  <w:r>
                    <w:rPr>
                      <w:color w:val="000000"/>
                      <w:sz w:val="22"/>
                    </w:rPr>
                    <w:t>具备缺陷问题下达到涉及医生或指定医生功能，涉及医生在医生站进行答复整改，缺项项目可集中查看。</w:t>
                  </w:r>
                  <w:r>
                    <w:br w:type="textWrapping"/>
                  </w:r>
                  <w:r>
                    <w:rPr>
                      <w:color w:val="000000"/>
                      <w:sz w:val="22"/>
                    </w:rPr>
                    <w:t>具备专家组交叉病历质控功能，设置专家小组成员以及质控检查范围，在要求时间内完成病历质控检查，并下达问题整改单进行跟踪确认。</w:t>
                  </w:r>
                  <w:r>
                    <w:br w:type="textWrapping"/>
                  </w:r>
                  <w:r>
                    <w:rPr>
                      <w:color w:val="000000"/>
                      <w:sz w:val="22"/>
                    </w:rPr>
                    <w:t>具备根据国家病历评定标准和医院病历评定标准要求进行质控检查项目维护功能。</w:t>
                  </w:r>
                  <w:r>
                    <w:br w:type="textWrapping"/>
                  </w:r>
                  <w:r>
                    <w:rPr>
                      <w:color w:val="000000"/>
                      <w:sz w:val="22"/>
                    </w:rPr>
                    <w:t>具备区分手术病历、非手术病历，设置不同的质控分值功能。</w:t>
                  </w:r>
                  <w:r>
                    <w:br w:type="textWrapping"/>
                  </w:r>
                  <w:r>
                    <w:rPr>
                      <w:color w:val="000000"/>
                      <w:sz w:val="22"/>
                    </w:rPr>
                    <w:t>支持与住院电子病历对接，实现病历文书缺陷问题整改下发、答复功能。门诊病历质量管理</w:t>
                  </w:r>
                  <w:r>
                    <w:br w:type="textWrapping"/>
                  </w:r>
                  <w:r>
                    <w:rPr>
                      <w:color w:val="000000"/>
                      <w:sz w:val="22"/>
                    </w:rPr>
                    <w:t>具备门诊病历质控和专家组交叉质控功能。</w:t>
                  </w:r>
                  <w:r>
                    <w:br w:type="textWrapping"/>
                  </w:r>
                  <w:r>
                    <w:rPr>
                      <w:color w:val="000000"/>
                      <w:sz w:val="22"/>
                    </w:rPr>
                    <w:t>具备门诊病历进行质控抽查，下达整改单，涉及医生整改答复，质控人员对问题进行跟踪确认。</w:t>
                  </w:r>
                  <w:r>
                    <w:br w:type="textWrapping"/>
                  </w:r>
                  <w:r>
                    <w:rPr>
                      <w:color w:val="000000"/>
                      <w:sz w:val="22"/>
                    </w:rPr>
                    <w:t>重点患者监管具：</w:t>
                  </w:r>
                  <w:r>
                    <w:br w:type="textWrapping"/>
                  </w:r>
                  <w:r>
                    <w:rPr>
                      <w:color w:val="000000"/>
                      <w:sz w:val="22"/>
                    </w:rPr>
                    <w:t>备对重点病例患者进行实时监测功能，并下钻到具体科室具备病例，并可对重点病例患者直接进行病历质控。</w:t>
                  </w:r>
                  <w:r>
                    <w:br w:type="textWrapping"/>
                  </w:r>
                  <w:r>
                    <w:rPr>
                      <w:color w:val="000000"/>
                      <w:sz w:val="22"/>
                    </w:rPr>
                    <w:t>支持预设重点病例患者类型，包括：病危、病重、抢救、疑难、重大手术、住院超过30天、24小时入出院、30天内再入院、输血、死亡。</w:t>
                  </w:r>
                  <w:r>
                    <w:br w:type="textWrapping"/>
                  </w:r>
                  <w:r>
                    <w:rPr>
                      <w:color w:val="000000"/>
                      <w:sz w:val="22"/>
                    </w:rPr>
                    <w:t>抗菌药物分级管理：</w:t>
                  </w:r>
                  <w:r>
                    <w:br w:type="textWrapping"/>
                  </w:r>
                  <w:r>
                    <w:rPr>
                      <w:color w:val="000000"/>
                      <w:sz w:val="22"/>
                    </w:rPr>
                    <w:t>具备限制级抗菌药物紧急情况下24小时内限制使用功能，非紧急需科主任审批。</w:t>
                  </w:r>
                  <w:r>
                    <w:br w:type="textWrapping"/>
                  </w:r>
                  <w:r>
                    <w:rPr>
                      <w:color w:val="000000"/>
                      <w:sz w:val="22"/>
                    </w:rPr>
                    <w:t>具备特殊级抗菌药物紧急情况下24小时内限制使用功能，非紧急需会诊后由医务科审批。</w:t>
                  </w:r>
                  <w:r>
                    <w:br w:type="textWrapping"/>
                  </w:r>
                  <w:r>
                    <w:rPr>
                      <w:color w:val="000000"/>
                      <w:sz w:val="22"/>
                    </w:rPr>
                    <w:t>具备审批流程自定义配置功能，根据院内管理进行灵活调整。具备抗菌药物会诊专家维护和排班功能。</w:t>
                  </w:r>
                  <w:r>
                    <w:br w:type="textWrapping"/>
                  </w:r>
                  <w:r>
                    <w:rPr>
                      <w:color w:val="000000"/>
                      <w:sz w:val="22"/>
                    </w:rPr>
                    <w:t>支持与住院医生站对接，实现抗菌药物申请、审批功能。检验检查报告质控</w:t>
                  </w:r>
                  <w:r>
                    <w:br w:type="textWrapping"/>
                  </w:r>
                  <w:r>
                    <w:rPr>
                      <w:color w:val="000000"/>
                      <w:sz w:val="22"/>
                    </w:rPr>
                    <w:t>支持与医技系统或数据平台对接，实现医技报告获取和展示功能具备问题整改单下达、整改、跟踪确认功能。</w:t>
                  </w:r>
                  <w:r>
                    <w:br w:type="textWrapping"/>
                  </w:r>
                  <w:r>
                    <w:rPr>
                      <w:color w:val="000000"/>
                      <w:sz w:val="22"/>
                    </w:rPr>
                    <w:t>院内会诊质控：</w:t>
                  </w:r>
                  <w:r>
                    <w:br w:type="textWrapping"/>
                  </w:r>
                  <w:r>
                    <w:rPr>
                      <w:color w:val="000000"/>
                      <w:sz w:val="22"/>
                    </w:rPr>
                    <w:t>具备院内大会诊跟踪管理功能，医务管理人员对院内大会诊进行申请、审批、安排、跟踪。</w:t>
                  </w:r>
                  <w:r>
                    <w:br w:type="textWrapping"/>
                  </w:r>
                  <w:r>
                    <w:rPr>
                      <w:color w:val="000000"/>
                      <w:sz w:val="22"/>
                    </w:rPr>
                    <w:t>具备院外大会诊申请、审批管理，医务管理人员可调整邀请院区科室、邀请专家及邀请时间，完成后打印会诊邀请函。</w:t>
                  </w:r>
                  <w:r>
                    <w:br w:type="textWrapping"/>
                  </w:r>
                  <w:r>
                    <w:rPr>
                      <w:color w:val="000000"/>
                      <w:sz w:val="22"/>
                    </w:rPr>
                    <w:t>手术分级管理：</w:t>
                  </w:r>
                  <w:r>
                    <w:br w:type="textWrapping"/>
                  </w:r>
                  <w:r>
                    <w:rPr>
                      <w:color w:val="000000"/>
                      <w:sz w:val="22"/>
                    </w:rPr>
                    <w:t>具备手术分级审批管理功能，结合临床业务系统实现手术申请单各级别手术审批流程。</w:t>
                  </w:r>
                  <w:r>
                    <w:br w:type="textWrapping"/>
                  </w:r>
                  <w:r>
                    <w:rPr>
                      <w:color w:val="000000"/>
                      <w:sz w:val="22"/>
                    </w:rPr>
                    <w:t>具备重大手术申请审批功能，支持动态角色审批配置功能。</w:t>
                  </w:r>
                  <w:r>
                    <w:br w:type="textWrapping"/>
                  </w:r>
                  <w:r>
                    <w:rPr>
                      <w:color w:val="000000"/>
                      <w:sz w:val="22"/>
                    </w:rPr>
                    <w:t>支持与住院医生站系统对接，实现开立手术医嘱与重大手术审批结果过程关联功能，要求重大手术审批通过后，对应手术医嘱才可签署通过。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462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医师人力资源管理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医师档案管理、医师基本档案管理、具备医师档案基本信息个人维护和附件上传功能。</w:t>
                  </w:r>
                  <w:r>
                    <w:br w:type="textWrapping"/>
                  </w:r>
                  <w:r>
                    <w:rPr>
                      <w:color w:val="000000"/>
                      <w:sz w:val="22"/>
                    </w:rPr>
                    <w:t>具备教育经历相关信息维护及材料上传功能，包括学校、学历、学位、起止时间、专业。</w:t>
                  </w:r>
                  <w:r>
                    <w:br w:type="textWrapping"/>
                  </w:r>
                  <w:r>
                    <w:rPr>
                      <w:color w:val="000000"/>
                      <w:sz w:val="22"/>
                    </w:rPr>
                    <w:t>具备工作经历相关信息维护及材料上传功能，包括工作单位、部门、岗位、起止时间。</w:t>
                  </w:r>
                  <w:r>
                    <w:br w:type="textWrapping"/>
                  </w:r>
                  <w:r>
                    <w:rPr>
                      <w:color w:val="000000"/>
                      <w:sz w:val="22"/>
                    </w:rPr>
                    <w:t>具备职称信息相关信息维护及材料上传功能。</w:t>
                  </w:r>
                  <w:r>
                    <w:br w:type="textWrapping"/>
                  </w:r>
                  <w:r>
                    <w:rPr>
                      <w:color w:val="000000"/>
                      <w:sz w:val="22"/>
                    </w:rPr>
                    <w:t>具备证书信息相关信息维护及材料上传功能，包括资格证书、执业证书。</w:t>
                  </w:r>
                  <w:r>
                    <w:br w:type="textWrapping"/>
                  </w:r>
                  <w:r>
                    <w:rPr>
                      <w:color w:val="000000"/>
                      <w:sz w:val="22"/>
                    </w:rPr>
                    <w:t>具备教育培训相关信息维护功能。具备休假信息相关登记功能。</w:t>
                  </w:r>
                  <w:r>
                    <w:br w:type="textWrapping"/>
                  </w:r>
                  <w:r>
                    <w:rPr>
                      <w:color w:val="000000"/>
                      <w:sz w:val="22"/>
                    </w:rPr>
                    <w:t>具备医师个人档案信息保存、提交、审核、退回流程操作功能。</w:t>
                  </w:r>
                  <w:r>
                    <w:br w:type="textWrapping"/>
                  </w:r>
                  <w:r>
                    <w:rPr>
                      <w:color w:val="000000"/>
                      <w:sz w:val="22"/>
                    </w:rPr>
                    <w:t>具备不同管理层级查看管辖范围内的档案信息功能。</w:t>
                  </w:r>
                  <w:r>
                    <w:br w:type="textWrapping"/>
                  </w:r>
                  <w:r>
                    <w:rPr>
                      <w:color w:val="000000"/>
                      <w:sz w:val="22"/>
                    </w:rPr>
                    <w:t>具备医师离岗管理功能，包括离岗类型、离岗时间，并停止账号登录权限。</w:t>
                  </w:r>
                  <w:r>
                    <w:br w:type="textWrapping"/>
                  </w:r>
                  <w:r>
                    <w:rPr>
                      <w:color w:val="000000"/>
                      <w:sz w:val="22"/>
                    </w:rPr>
                    <w:t>医师技术档案管理：</w:t>
                  </w:r>
                  <w:r>
                    <w:br w:type="textWrapping"/>
                  </w:r>
                  <w:r>
                    <w:rPr>
                      <w:color w:val="000000"/>
                      <w:sz w:val="22"/>
                    </w:rPr>
                    <w:t>具备学术论文发表申请与审批管理功能，实现学术论文发表申请、上级管理部门审批、介绍信打印。</w:t>
                  </w:r>
                  <w:r>
                    <w:br w:type="textWrapping"/>
                  </w:r>
                  <w:r>
                    <w:rPr>
                      <w:color w:val="000000"/>
                      <w:sz w:val="22"/>
                    </w:rPr>
                    <w:t>具备学术会议申请与审批管理功能，实现学术会议申请、上级管理部门审批通过、会后报告管理。</w:t>
                  </w:r>
                  <w:r>
                    <w:br w:type="textWrapping"/>
                  </w:r>
                  <w:r>
                    <w:rPr>
                      <w:color w:val="000000"/>
                      <w:sz w:val="22"/>
                    </w:rPr>
                    <w:t>具备进修培训申请与审批管理功能，实现进修培训申请、上级管理部门资料评估与审核、进修医师反馈成果。</w:t>
                  </w:r>
                  <w:r>
                    <w:br w:type="textWrapping"/>
                  </w:r>
                  <w:r>
                    <w:rPr>
                      <w:color w:val="000000"/>
                      <w:sz w:val="22"/>
                    </w:rPr>
                    <w:t>具备科研课题申请与审批管理功能，实现科研课题申请、上级管理部门课题资料评估与审核、科研成果反馈维护。</w:t>
                  </w:r>
                  <w:r>
                    <w:br w:type="textWrapping"/>
                  </w:r>
                  <w:r>
                    <w:rPr>
                      <w:color w:val="000000"/>
                      <w:sz w:val="22"/>
                    </w:rPr>
                    <w:t>医师权限管理：</w:t>
                  </w:r>
                  <w:r>
                    <w:br w:type="textWrapping"/>
                  </w:r>
                  <w:r>
                    <w:rPr>
                      <w:color w:val="000000"/>
                      <w:sz w:val="22"/>
                    </w:rPr>
                    <w:t>具备医师权限集中授权管理功能，权限范围包括药品一般处方权、毒麻精处方权、特殊药品处方权、会诊权限、抗菌药物权限、抗肿瘤药物权限、用血申请权限。</w:t>
                  </w:r>
                  <w:r>
                    <w:br w:type="textWrapping"/>
                  </w:r>
                  <w:r>
                    <w:rPr>
                      <w:color w:val="000000"/>
                      <w:sz w:val="22"/>
                    </w:rPr>
                    <w:t>具备医师毒麻精处方权限资质申请管理功能，医师根据个人权限档案情况申请毒麻精处方权，包括剧毒类处方权、麻醉类处方权、精一类处方权以及精神类处方权，进行动态角色审批管理。</w:t>
                  </w:r>
                  <w:r>
                    <w:br w:type="textWrapping"/>
                  </w:r>
                  <w:r>
                    <w:rPr>
                      <w:color w:val="000000"/>
                      <w:sz w:val="22"/>
                    </w:rPr>
                    <w:t>具备医师手术分级权限资质申请管理功能，医师根据个人权限档案情况申请手术分级权限，包括申请级别、在上级领导指导下可开展的部分手术范围，进行动态角色审批管理。</w:t>
                  </w:r>
                  <w:r>
                    <w:br w:type="textWrapping"/>
                  </w:r>
                  <w:r>
                    <w:rPr>
                      <w:color w:val="000000"/>
                      <w:sz w:val="22"/>
                    </w:rPr>
                    <w:t>具备医师抗菌药物权限资质申请管理，医师根据个人权限档案情况申请抗菌药物分级权限，包括申请级别、审批级别，进行动态角色审批管理。</w:t>
                  </w:r>
                  <w:r>
                    <w:br w:type="textWrapping"/>
                  </w:r>
                  <w:r>
                    <w:rPr>
                      <w:color w:val="000000"/>
                      <w:sz w:val="22"/>
                    </w:rPr>
                    <w:t>具备多种授权方式，包括集中授权、单个授权以及申请审批管理方式。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463</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护理管理系统</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护理档案管理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护理档案管理是通过对护士的个人档案信息的完善及管理来实现护理部对在职护理人员的统一管理，方便护理部掌握在院所有护理人员的基本素质、学历分布、专业分布、年龄层次、聘任职称、护士层级、护士调科信息等等；主要功能包括护士档案、技术能手、服务之星、护士离职、奖惩情况、离退人员列表、护士排班看板、护士退休、人力指标、离职情况分布、人员一览表等等。</w:t>
                  </w:r>
                  <w:r>
                    <w:br w:type="textWrapping"/>
                  </w:r>
                  <w:r>
                    <w:rPr>
                      <w:color w:val="000000"/>
                      <w:sz w:val="22"/>
                    </w:rPr>
                    <w:t>护士档案主要对护士的个人档案信息的录入，修改，查询，导出，审核等功能，方便以后对人员信息进行管理。技术能手、服务之星主要是护士长对于本病区的护士按月进行技术能手和服务之星的数据填报功能；护士离职主要是对于有离职意向的护士进行的离职申请，由护理部审核；获奖情况主要是由病区护士长对于护士的奖惩情况的填报功能；离退人员主要是对离职退休人员的明细展示功能；护士排班看板主要是病区每天的排班班次的人数的展示功能；护士退休主要是由护理部对于到了退休年龄的护士的信息的登记以及相关统计；人力指标主要是对护士的分类汇总统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464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科室事务管理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科室工作安排是用于对护士的工作进行安排、统计，极大地方便了护理工作的进行，减少了管理者的工作量。主要包括关联床位管理、初始化积假设置、排班日程、请假申请、护士长请假备案、换班申请、改班申请、排班统计等功能。</w:t>
                  </w:r>
                  <w:r>
                    <w:br w:type="textWrapping"/>
                  </w:r>
                  <w:r>
                    <w:rPr>
                      <w:color w:val="000000"/>
                      <w:sz w:val="22"/>
                    </w:rPr>
                    <w:t>关联床位管理是关联HIS病区专业组及床位；初始化积假设置是对有需要的护士的积假数进行维护；排班日程主要是病区护士长对病区护士的相关排班操作；请假申请主要是护士根据自己的实际情况提出的请假，由护士长审批；护士长请假备案主要是对护理部对护士长请假的期间的工作安排及去向的查阅功能；换班申请主要是护士根据自己的实际情况进行的换班操作，由护士长审批；改班申请是由护士根据实际情况进行的改班操作，由护士申请、护士长审批；排班统计主要是病区护士的考勤统计、工时统计、请假统计和改、换班的统计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465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护理工作量管理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护理工作量管理是用于对护士的工作进行数据统计，实现完整的工作量数据统计工作。主要包括服务之星统计、技术能手统计、工作量项目、生成月报、工作量月报查询等功能。服务之星统计是根据每月病区通过评比，录入系统的记录查询汇总；技术能手统计是根据每月病区通过评比，录入系统的记录查询汇总；工作量项目维护就是将项目需要统计的工作量项目进行收集，对工作量项目进行定义绑定需要统计的数据以及分值和获取方式的维护。工作量病区主要是维护需要统计工作量的病区；工作量查询支持病区护士长查询每天护士的工作量数据以及得分，也可以按照工作量项目查询整个病区工作量情况；工作量月报查询可查看每个病区每个护士一个月的工作量数据以及得分情况，也可以按照工作量项目查询整个病区一个月的工作量情况；工作量月报分析可以查询每个病区总的工作量数据以及得分情况，能够清晰的展示出每个病区的工作量程度，可以进行病区之间工作量的比较。</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466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人员动态</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人员动态主要包括科室轮转、弹性调配和院内调岗功能；其中科室轮转是对未定科的护士制定的轮转计划，计划发布后轮转护士分配到各个病区由带教老师指导其护理相关的工作；弹性调配主要包括计划性调配和随机调配，弹性调配一般用于突然状况(如疫情原因，部分科室患者急增，需要增加护士)进行护士批量调配；计划性调配需要护士长提交用人申请由科护士长或者护理部审核通过然后分配人员；随机性调配则由护士长直接将护士的调配信息提交即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467</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组织管理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组织管理主要包括组织管理制度和组织规划功能；</w:t>
                  </w:r>
                  <w:r>
                    <w:br w:type="textWrapping"/>
                  </w:r>
                  <w:r>
                    <w:rPr>
                      <w:color w:val="000000"/>
                      <w:sz w:val="22"/>
                    </w:rPr>
                    <w:t>组织管理制度主要是对护理部、科室和病区对相关制度的维护、查阅以及护理文件的管理维护工作；</w:t>
                  </w:r>
                  <w:r>
                    <w:br w:type="textWrapping"/>
                  </w:r>
                  <w:r>
                    <w:rPr>
                      <w:color w:val="000000"/>
                      <w:sz w:val="22"/>
                    </w:rPr>
                    <w:t>组织规划主要是护理部对工作规划、工作计划、工作重点的维护工作；其中工作计划和工作重点又分为年度、季度、半年和月底计划和重点；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468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护士长手册</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护士长手册：要求根据项目实际情况进行系统的功能优化升级。具体功能要求包括手册说明、护理人员信息、计划总结、质量管理、风险管理、日常事务管理、护理查房、病例讨论、手册审阅等功能。</w:t>
                  </w:r>
                  <w:r>
                    <w:br w:type="textWrapping"/>
                  </w:r>
                  <w:r>
                    <w:rPr>
                      <w:color w:val="000000"/>
                      <w:sz w:val="22"/>
                    </w:rPr>
                    <w:t>护士长手册是针对于护士长日常工作事务记录的相关功能，这部分的个性化需求也是最多的，可根据项目实际情况进行系统的功能优化升级。具体功能包括手册说明、护理人员信息、计划总结、质量管理、风险管理、日常事务管理、护理查房、病例讨论、手册审阅等功能；手册说明即护理部对于护士长手册的相关定义；填写说明即护士长在填写手册时需要注意的相关事项，由医院提供，实施人员在后台进行维护即可；护理人员信息用于展示病区护士的相关信息；计划总结是护士长对于一段时间内的工作计划和工作重点做的相关总结性工作，由护士长填写提交，后经过科护士长、护理部进行审核；质量管理是将质控的相关问题、整改分析内容、质控的相关活动进行统计的相关功能；风险管理是对发生的不良事件的统计功能；日常事务管理是病区的日常的会议记录等功能；护理查房对应护士长日常的护理查房业务，对查房记录进行记录，可对患者的情况进行登记；手册审阅指的是科护士长或者护理部定期对护士长手册的相关审阅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469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护理教学</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护理教学是针对护理理论与护理技能教学、练习、考核、汇总的相关程序。包括日常练习(章节练习、真题模考、学习资料库)、考核发布、理论考核、技操考核、应急预案考核、应急预案演练、教学情况汇总(综合汇总、培训汇总、考核汇总)等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470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护理调查</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护理调查主要功能包括护士满意度调查、患者满意度调查和出院随访等功能。</w:t>
                  </w:r>
                  <w:r>
                    <w:br w:type="textWrapping"/>
                  </w:r>
                  <w:r>
                    <w:rPr>
                      <w:color w:val="000000"/>
                      <w:sz w:val="22"/>
                    </w:rPr>
                    <w:t>护士满意度调查用于发布和填写护士满意度调查问卷，对应的实际业务为护理部确定需要调查的内容，选定需要调查的人员后，发布相关满意度调查的通知，同时下发相应的调查问卷让护士填写，最后针对调查问卷进行总结分析；患者满意度调查是护理部发布关于患者满意度调查的相关问卷，确定对应的人群和时间，然后由患者填写相应的问卷，护士进行信息统计；出院随访是护理部针对出院患者，对患者进行相关随访，首先护理部制定相应的随访内容、时间以及访问对象，</w:t>
                  </w:r>
                  <w:r>
                    <w:br w:type="textWrapping"/>
                  </w:r>
                  <w:r>
                    <w:rPr>
                      <w:color w:val="000000"/>
                      <w:sz w:val="22"/>
                    </w:rPr>
                    <w:t>制定随访计划，然后病区护士进行电话访问，访问后对随访结果进行登记；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471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科研管理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科研管理主要是对在院护士的发表论文、交流获奖论文、年底上交论文、科研立项、科室创新、获奖科研、专利备案、新技术申报审批等功能的填报。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472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专业组</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专业组主要用于个医院对于各个专科专业组、人员进行分配登记，此外还有专科护士备案以及再认证等工作也可以在系统中进行相关信息的统计。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473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实习进修</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实习进修主要包括实习生列表、进修人员管理、轮转管理、人员登记、培训管理、奖惩记录等功能。实习生列表记录实习护生在读学校、姓名、联系方式等信息，可快速查询实习生信息；进修人员管理主要是对来院进修和外派进修生的管理；轮转管理主要是实习生的轮转计划的制定，护理部制定好轮转计划以后，病区护士长可以根据轮转情况对轮转到自己病区的实习生进行排班；培训管理主要是培训制度的相关维护、培训发布和培训记录等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474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护理指标分析</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指标分析主要包括敏感指标、医疗照护(工作量)指标、人力指标、安全通报指标、质量考核指标。建立指标数据平台，可实现与HIS系统、移动护理、护理病历、护理排班、不良事件、人力系统、院感系统等与护理相关系统的对接，通过指标系统，通过高度可配置化管理，支持数据源定义、指标的快速构建、报表模板定义等，满足护理指标数据的提取。支持根据填报、上报、导入需求进行模板的定制，根据敏感指标的要求，自动导入符合国家护理质控平台要求的模板定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475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基础数据维护</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基础数据维护是系统的一些基础数据的维护模块。</w:t>
                  </w:r>
                  <w:r>
                    <w:br w:type="textWrapping"/>
                  </w:r>
                  <w:r>
                    <w:rPr>
                      <w:color w:val="000000"/>
                      <w:sz w:val="22"/>
                    </w:rPr>
                    <w:t>具体功能包括片区(大科)设置、科室设置、病区设置、楼层设置、全局排班类型管理、病区排班类型管理、质控项目管理、公共代码维护、节假日维护、用户设置、教学维护、专科护士再认证项目、调查问卷维护等。片区(大科)设置实现了对片区(大科)的添加功能，并可以关联所辖科室；科室设置实现了对科室添加功能，并可以关联所辖病区；病区设置是对病区的添加功能，支持顺序调整、关联所属科室功能，支持和HIS病区的关联；楼层设置是对楼层的维护，支持楼层关联病区功能；全局排班类型管理是护理部对全院所有排班班次的维护功能，支持顺序调整、班次时间段的维护、班次导出等功能；病区排班类型管理是病区护士长对本病区所属班次的添加、班次时间段的维护功能；质控项目管理是对质控指标的添加、编辑、删除、导入、导出功能；公共代码维护是对系统公共代码的维护功能；节假日维护是对国家法定节假日的维护功能；用户设置是对用户的his信息的相关关联；教学维护是对理论项目、技操项目的考核题目的维护功能；专科护士再认证项目是对相关认证项目的维护功能；调查问卷维护是对护士满意度调查、患者满意度调查以及出院随访问卷的维护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476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系统设置</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系统设置是对护理管理系统的一些系统参数的维护功能。具体功能包括模块设置、菜单设置、菜单权限设置、病区权限设置、用户角色管理、系统参数设置、综合参数设置、列表配置、夜班费及系数等；模块设置为护管系统各个模块的基础框架的维护；菜单设置是护管系统整个菜单显示的基础框架，一般不需要调整；菜单权限设置主要是对角色模块、菜单权限以及菜单元素的维护功能；病区权限设置是对角色的所辖病区的维护功能；用户角色设置是对系统角色以及角色人员的维护功能；系统参数设置是对护理管理系统的一些参数维护功能；综合参数设置是对排班、床位统计、轮转计划以及敏感指标相关接口的参数设置；列表配置是对相关界面的列表增加控件的配置；夜班费及系数是对夜班费及系数的维护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477</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护理质量管理系统</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质控排班计划</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质控排班计划主要包括质控检查组的维护、检查病区的维护、病区分组、检查任务计划安排、夜查房排班及检查打分、夜查房换班申请等功能；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478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质控任务发布</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质控任务发布用于发布包含质控查房、特殊科室检查、病区自查、科护士长督察、季度质控检查的护理部、科室、病区的三级质控任务。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479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质控检查</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质控检查用于质控查房、特殊科室检查、病区自查、科护士长督察、季度质控检查的三级质控检查任务打分，所有质控类型的随机检查任务发布及打分、复查检查等；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480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质控问题汇总</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质控问题汇总是对夜查房、质控查房等在检查过程中出现的问题的汇总分析、评价等功能；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481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质控统计分析</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质控统计分析是质控结果、整改问题、整改率、问题频次和完成计划的图表分析。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482</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单病种上报管理系统</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表单管理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可以进行单病种表单、单病种表单的项目维护、导入。对表单项目与数据采集项、医嘱项进行关联，实现表单数据自动提取功能。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483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表达式管理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将表单以及表单项目与对应的监控表达式相关联，可以实现对关键事件进行监控，及时提示预警、实现单病种病种出入组筛查、实现表单数据自动获取。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484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出入组管理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根据国家卫健委对单病种的出入组要求，灵活配置、组合出入组条件，实现单病种病例的自动筛查，降低人为筛查的难度，提高上报率。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485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统计分析</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根据国家下发的单病种管理要求，对各个单病种进行统计分析，以反馈当前医院存在的问题，并有针对性的进行解决。</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486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数据上报</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提供上报病种管理页面，对单病种上报信息进行完整展现，并且可以通过数据接口进行单病种直接上报国家单病种平台</w:t>
                  </w:r>
                  <w:r>
                    <w:br w:type="textWrapping"/>
                  </w:r>
                  <w:r>
                    <w:rPr>
                      <w:color w:val="000000"/>
                      <w:sz w:val="22"/>
                    </w:rPr>
                    <w:t>单病种质量管理系统实现单病种病例自动筛查、表单项目结果自动提取、标准化、表单项目结果校验，使得管理部门在高效管理的同时能保证数据的完整性和准确性，这为医院对单病种的管理和研究提供坚实基础。</w:t>
                  </w:r>
                  <w:r>
                    <w:br w:type="textWrapping"/>
                  </w:r>
                  <w:r>
                    <w:rPr>
                      <w:color w:val="000000"/>
                      <w:sz w:val="22"/>
                    </w:rPr>
                    <w:t>对临床医生而言，本系统实施后，能大大简化报告填写过程，缩短上报时间，减少工作量，提高工作效率。而且填写过的报告可随时查看、修改，也可以打印出来，作为病案的一部分存档，为患者病情的研究提供第一手资料。辅助医院对单病种的管理和研究，能提高单病种的筛查和治疗的水平，让医院和患者实现双方受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487</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过程质量监测与评价系统</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病案首页事中质控</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系统支持临床医生在书写病案首页过程中，对病历中信息填写的完整性、一致性、及时性、合理性进行自动判断，当病历内容存在缺陷时，系统主动提示质控缺陷内容，精准定位问题所在病历位置，辅助医生快速修改。能够实时接收质控员发送的质控缺陷消息，根据内容进行修改或申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488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科室病案首页质控</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系统支持科室质控员查询本科出院患者，查看患者首页缺陷触犯修复情况。支持质控员通过浏览病历内容、检查检验医嘱等，进行人工审核。在审核过程中发现质控问题能够进行手工添加及备注，能够发送消息给临床医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489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院级病案首页质控</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系统支持病案室根据科室、出院日期、病案号、姓名等条件查询全院出院患者，病案室质控人员可以浏览科室质控结果，支持质控员通过浏览病历内容、检查检验医嘱等，进行二次人工审核。在审核过程中发现新的质控问题能够进行手工添加及备注，能够发送消息给临床医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490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病案质控规则管理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系统提供覆盖西医病案首页、中医病案首页在内的1000+自动质控规则，包括完整性、一致性、诊断编码合理性、时效性等。支持自定义手工平分规则。</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491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病案首页质控数据报表</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能系统支持对科室、院级病案首页质控结果进行多维度数据报表统计。</w:t>
                  </w:r>
                  <w:r>
                    <w:br w:type="textWrapping"/>
                  </w:r>
                  <w:r>
                    <w:rPr>
                      <w:color w:val="000000"/>
                      <w:sz w:val="22"/>
                    </w:rPr>
                    <w:t>随着DRG/DIP工作在全国的逐步推行，病案首页质控也成为了各医院的重点工作之一。住院病案首页数据的质量直接影响医保结算清单的质量，从而提升住院期间诊疗信息的准确性，改善医保病种分值付费，提升医院经济效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492</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抗菌药物管理系统</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抗菌抗肿瘤药物权限管理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实现不同的就诊类型，医生对各级别抗菌抗肿瘤药物的权限管理，系统中权限分为级别权限和医生权限，只需维护级别权限，医生权限默认继承于级别权限，医生权限优先于级别权限。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493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抗菌抗肿瘤药物流程配置</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针对某种级别的抗菌抗肿瘤药物医生无权限时，如何去向上级部门申请的流程管理。现在系统流程类型分为非特抗药申请流程、特抗药无审核权限申请流程、特抗药有审核权限申请流程三种流程。支持的审核节点有科室预审、会诊、科室审核、和最终审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494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抗菌抗肿瘤药物功能配置</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实现对抗抗肿瘤菌药物各功能进行配置化管理。包括系统开关、常用功能、扩展功能、会诊设置、使用目的管控、碳青霉烯类及替加环素管控等，为整个的抗菌药物维护提供便利。</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495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抗菌药物联合用药管理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对抗菌抗肿瘤药物联合用药进行管理。支持当患者发生联合用药时，需要填写相关的联合用药原因，并且当患者的联次发送变更时，需要填写变更原因。</w:t>
                  </w:r>
                  <w:r>
                    <w:br w:type="textWrapping"/>
                  </w:r>
                  <w:r>
                    <w:rPr>
                      <w:color w:val="000000"/>
                      <w:sz w:val="22"/>
                    </w:rPr>
                    <w:t>抗菌抗肿瘤药物管理系统对抗菌药物进行分级管理，减少医生不合理用药，控制细菌耐药。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496</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住院病案首页质量控制系统</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用户管理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用户管理页面展示了系统中的所有用户信息，可对用户进行添加、修改、删除、重置密码、冻结、解除冻结、角色分配、授权科室、用户批量模板导入下载、用户批量导入等操作。管理员可以在页面选择相应按钮对用户账号进行操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497</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角色管理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角色管理页面展示了系统中的所有角色信息，可对角色进行添加、修改、删除、权限配置、系统首页配置、搜索等操作，管理员可以在页面选择相应角色进行操作。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498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部门管理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部门管理页面展示了系统中的所有部门信息，可对部门进行添加、修改、删除、搜索等操作，管理员可以在页面选择相应部门进行操作。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499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字典管理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字典管理页面展示了系统中的所有字典信息，可对字典进行添加、修改、删除、搜索等操作，管理员可以在页面选择相应字典信息进行操作。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500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菜单管理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菜单管理页面展示了系统中的所有菜单信息，包括左侧菜单名称、菜单的URL路径、菜单顺序和菜单备注信息等，可对系统中的菜单进行添加、修改、删除、菜单排序、搜索操作。管理员可以在页面选择相应菜单信息进行操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501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系统配置</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系统配置页面展示了系统中的所有配置信息，包括医师配置、组织结构配置、质控首页版本、首页版本等配置信息，通过点击“新增配置”新增系统配置，可根据需要自行配置数据项。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502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业务日志</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业务日志页面展示了系统中的所有业务日志信息，包括日志类型、用户名称、时间及具体消息，可对系统中的业务日志进行查看、清空、搜索操作。系统支持选择开始时间、结束时间、日志名称、日志类型进行按条件搜索，可快速查看到所需业务日志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503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登陆日志</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登录日志页面展示了系统中的所有登录日志信息，包括日志名称、用户名称、时间、具体信息及ip,可对系统中的登录日志进行查看、清空、搜索操作。系统支持选择开始时间、结束时间、日志名称进行按条件搜索，可快速查看到所需登陆日志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504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监控管理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监控管理页面展示了对系统中各种资料的监控信息，包括首页、数据源、SQL监控、SQL防火墙、Web应用、URI监控、Session监控、Sping监控、JSONAPI,可对监控信息进行重置、记录日志并重置操作。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505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通知管理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通知管理页面展示了系统中各种通知信息，可对通知信息进行添加、修改、删除操作。系统支持输入名称进行按名称搜索，可快速查看到所需通知信息。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506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代码生成</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代码生成页面可以进行代码自动生成的操作。通过输入模块名称、业务名称、实体名称、表名称信息自动生成相应代码。</w:t>
                  </w:r>
                  <w:r>
                    <w:br w:type="textWrapping"/>
                  </w:r>
                  <w:r>
                    <w:rPr>
                      <w:color w:val="000000"/>
                      <w:sz w:val="22"/>
                    </w:rPr>
                    <w:t>病案首页质量评价系统帮助提升病案首页数据的质量，使编目后的病案首页数据满足DRG分组要求或上报要求，尤其是实行DRG付费的地区，可以有效保证进行DRG分组，或者上报上级卫生部门的数据质量。为医院提供更准确规范的数据基础，便于后续的数据分析，有利于医院的精细化管理。</w:t>
                  </w:r>
                  <w:r>
                    <w:br w:type="textWrapping"/>
                  </w:r>
                  <w:r>
                    <w:rPr>
                      <w:color w:val="000000"/>
                      <w:sz w:val="22"/>
                    </w:rPr>
                    <w:t>此外，国家三级公立医院绩效考核工作意见中指出，大部分统计指标将由医院上报的数据自动统计计算，统计结果直接影响医院绩效考核结果，上报上级医疗卫生部门的数据质量尤为重要。病案首页质量评价系统主要协助医院高病案首页填报质量，减轻质控人员的工作量。通过对临床版、编目版数据进行质控，对病案首页的质量进行全方位评价，及时发现问题进行改进。在此基础上，在逻辑规则校验表中增加考核权重分值设置，可以实现病案首页的自动考评。</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507</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统一排队叫号平台</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门诊挂号/取号</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操作员通过医保卡或就诊卡等检索患者基本信息，根据患者病情或患者要求为患者选择对应的就诊科室和就诊资源，进行挂号收费操作或选择已经有的预约/加号信息进行取号缴费操作。缴费时可支持但不限于使用现金、院内账户、银行卡等多种支付方式进行支付操作，同时也根据当地医保规定可进行医保直连上传就诊信息和进行报销操作。挂号结束后根据需要可以为患者进行挂号凭证和收费凭证的打印，患者可凭此进行有效就医。该系统模块可以支持自助机，app,微信等多渠道接口实现线上直接挂号/取号、支付的流程，挂号成功后向患者推送相应的就诊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508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诊间预约/加号</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诊间医生或护士可以通过该功能模块为有需要的患者进行当日就诊加号操作，或下次的复诊进行预约操作，通过日历预约界面选中对应的就诊资源进行加号/预约后打印对应的凭证。如果有需要也可在该界面对于符合系统要求的加号/预约记录进行取消操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509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窗口预约</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操作员根据患者病情或患者要求选择对应的就诊科室和就诊日期可用出诊资源为患者进行就诊预约并打印预约凭证，如果在该过程中患者未进行患者信息登记，那么可以进行无卡预约，无卡预约需要填写就诊患者的身份信息和对应的联系方式。该系统模块可以支持自助机，app,微信等多渠道接口实现线上直接进行预约，患者在查询绑定的有效患者信息后，可在自助端根据自身需要选择需就诊的科室和医生在对应就诊日期的有效出诊资源进行预约，也可根据系统推送的分时段就诊信息，按自身需要选择需要就诊的时段进行预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510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退号</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患者在挂号支付后，由于特殊原因不能就诊，在符合医院退号政策的前提下为患者进行退号退费的操作。在退号的过程中可以选择对应的退号操作原因，可以进行后期质控数据查询。该系统模块可以支持自助机，app,微信等多渠道接口，实现在满足医院退号政策控制的前提下，进行自助退号退费操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511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预约管理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预约管理界实现的功能是给操作员进行预约数据的查询操作，可以通过多条件索引进行执行预约信息的查询，对查询出来的有效的预约数据，在满足医院政策的前提下进行取消预约的操作。该系统模块可以支持自助机，app,微信等多渠道接口，实现在满足医院取消预约政策控制的前提下，进行自助查询预约记录并取消预约操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512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预约信息一览表</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操作员可在预约信息一览表中通过多条件联查询，实现对系统的预约数据进行按就诊科室汇总查询或对全部明细进行汇总查询，该功能模块为医院对预约就诊资源数据的投放提供了必要的数据支撑。通过该数据能更加合理、有效、准确的调整预约就诊资源的分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513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挂号查询</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通过多条件联合查询，可以查询对应的就诊登记时所产生的详细挂号信息记录。包括但不限于以下信息：就诊人姓名，就诊人登记号，就诊科室，就诊号别，收费金额，支付详情，发票号，挂号人，挂号日期，挂号时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514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医生坐诊信息调整</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通过该功能可以对已经生成的出诊医生资源进行调整，包括正号限额，加号限额，分时段信息，各预约途径可预约数量等。也可以对已生成的资源进行停诊操作或对为生成的资源进行临时加诊操作，医生坐诊信息的调整，是合理分配医生出诊资源的有效保证和必要途径。同时对于已经生成的出诊信息调整会提供完整的调整信息日志功能，用于对操作的追溯和审计实现出诊信息的变更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515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排班模板维护</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对需要出诊科室资源进行出诊班次和出诊资源模板维护。模板数据包括：科室，医生，星期，时段，级别，正号限额，加号限额，预约限额，分时段信息等。</w:t>
                  </w:r>
                  <w:r>
                    <w:br w:type="textWrapping"/>
                  </w:r>
                  <w:r>
                    <w:rPr>
                      <w:color w:val="000000"/>
                      <w:sz w:val="22"/>
                    </w:rPr>
                    <w:t>模板信息可以用来批量生成出诊记录。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516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生成排班记录</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通过维护的排班模板生成一段时间的出诊资源。可以根据需要选择部分科室和部分号别来进行生成也可已选择全部进行生成。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517</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出诊查询</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可以通过多条件联合查询对应科室的出诊排班报表，并提供导出功能。可以直观的展示对应的出诊信息。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518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停替诊查询</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通过多条件联合查询可以查询对应的日期范围内的停替诊出诊记录，对资源的变更可以进行审计操作，更直观的进行管理查询。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519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号源信息汇总</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对出诊信息的使用情况进行汇总查询，通过查询可以随时进行号源资源投放的优化调整。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520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黑名单维护</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根据医院实际情况，制定相关信用规则，针对诊疗活动中，恶意占用医院诊疗资源的行为进行系统甄别，形成黑名单，对违反预约挂号规则或频繁爽约的患者给予必要限制；对恶意占用号源的患者进行信用跟踪，同时对信用不良的患者采取停用或限制预约次数和范围等增加管理措施。</w:t>
                  </w:r>
                  <w:r>
                    <w:br w:type="textWrapping"/>
                  </w:r>
                  <w:r>
                    <w:rPr>
                      <w:color w:val="000000"/>
                      <w:sz w:val="22"/>
                    </w:rPr>
                    <w:t>通过门诊预约挂号系统让挂号收费员能高效完成挂号收费业务，医院门诊具有就诊患者数量多，沟通时间短，短时间内业务量大等特点。确保挂号收费员能够准确快速的完成挂号收费业务，就能保证高效完成门诊诊疗工作，同时也可降低患者的等待时间，提高就诊满意度。预约系统能极大满足患者预约、复诊的就医需求，通过分时段就诊和多种线上挂号预约途径的支持，能更好的合理安排患者就诊时间，极大完善就诊秩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521</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疾病上报管理系统</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报告填报</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登记病人基本信息诊断信息以及上报重大非传染性疾病所要求填写的疾病相关信息等。其中病人基本信息大部分可从系统中自动提取，且保存报告时系统会进行数据完整性检测，保证数据的完整性、正确性。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522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报告审核</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临床医生填报报告卡后，管理人员可在报告查询页面查到该份报告，打开报告对填写内容进行审核。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523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报告导出和打印</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对于已经审核的报告，支持报告导出和打印，方便存档。在报告查询页面也可对查询出的记录做导出。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524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查询统计</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系统支持通过报告时间查询报告记录，查询出的结果包含报告基本信息和患者基本信息。查询出的结果可导出。</w:t>
                  </w:r>
                  <w:r>
                    <w:br w:type="textWrapping"/>
                  </w:r>
                  <w:r>
                    <w:rPr>
                      <w:color w:val="000000"/>
                      <w:sz w:val="22"/>
                    </w:rPr>
                    <w:t>本系统能成功实施后，大幅简化报告填写过程，缩短上报时间，提高临床医生工作效率，在高效管理的同时能保证数据的完整性和准确性。本系统辅助医院对重大非传染性疾病的管理和研究，提高重大非传染性疾病预防、筛查和治疗的水平，让患者成为最终的受益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525</w:t>
                  </w:r>
                </w:p>
              </w:tc>
              <w:tc>
                <w:tcPr>
                  <w:tcW w:w="46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财务管理</w:t>
                  </w: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人力资源管理系统</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人事管理系统</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要求提供组织架构、人事档案、人事调动、医务管理、护理管理、科研管理、教学管理、院办管理、党办管理、后勤管理等功能功能详细需求说明如下：</w:t>
                  </w:r>
                  <w:r>
                    <w:br w:type="textWrapping"/>
                  </w:r>
                  <w:r>
                    <w:rPr>
                      <w:color w:val="000000"/>
                      <w:sz w:val="22"/>
                    </w:rPr>
                    <w:t>组织架构：要求提供对单位信息的维护功能，即单位、部门的增加、修改、撤销、转移、合并的功能和对岗位的增加、修改、撤销、转移的功能。</w:t>
                  </w:r>
                  <w:r>
                    <w:br w:type="textWrapping"/>
                  </w:r>
                  <w:r>
                    <w:rPr>
                      <w:color w:val="000000"/>
                      <w:sz w:val="22"/>
                    </w:rPr>
                    <w:t>人事档案：要求支持对医院各类人员人事档案进行管理，包括员工人事档案、专业技术档案等；支持一览统计表等自定义报表功能；支持自定义构建档案库、档案表，支持自定义计算事物、级联事物。</w:t>
                  </w:r>
                  <w:r>
                    <w:br w:type="textWrapping"/>
                  </w:r>
                  <w:r>
                    <w:rPr>
                      <w:color w:val="000000"/>
                      <w:sz w:val="22"/>
                    </w:rPr>
                    <w:t>人事调动：要求实现人员院内不同部门的流转。</w:t>
                  </w:r>
                  <w:r>
                    <w:br w:type="textWrapping"/>
                  </w:r>
                  <w:r>
                    <w:rPr>
                      <w:color w:val="000000"/>
                      <w:sz w:val="22"/>
                    </w:rPr>
                    <w:t>医务管理：要求系统支持设置每一个医生的个人信息，支持设置不同医生不同权限。能够通过技术准入设置每位医生能够做什么项目。支持临床、医技不同种类医生工作量统计。实现医疗不良事件、投诉纠纷等医疗安全管理。支持医生的会诊、MDT团队会议、创新能力、门诊能力、进修等内容管理。护理管理：能够实现护理人员培训、考核、护理评级等功能。</w:t>
                  </w:r>
                  <w:r>
                    <w:br w:type="textWrapping"/>
                  </w:r>
                  <w:r>
                    <w:rPr>
                      <w:color w:val="000000"/>
                      <w:sz w:val="22"/>
                    </w:rPr>
                    <w:t>护理管理：要求系统支持护理人员培训管理，包括成长记录、发表论文等；系统支持记录护理人员考核结果；系统支持设置护理人员晋级标准，护理人员晋级全流程管理。从护理人员晋级申请，登记护理人员年度在职教育、学术能力、CPR考试成绩、同行评价、笔试成绩、教学能力、行政能力、重症护理能力等信息，最终护理部进行晋级考核审批。</w:t>
                  </w:r>
                  <w:r>
                    <w:br w:type="textWrapping"/>
                  </w:r>
                  <w:r>
                    <w:rPr>
                      <w:color w:val="000000"/>
                      <w:sz w:val="22"/>
                    </w:rPr>
                    <w:t>科研管理：要求实现从科研立项、项目验收、科研成果、论文发表等科研管理体系。</w:t>
                  </w:r>
                  <w:r>
                    <w:br w:type="textWrapping"/>
                  </w:r>
                  <w:r>
                    <w:rPr>
                      <w:color w:val="000000"/>
                      <w:sz w:val="22"/>
                    </w:rPr>
                    <w:t>教学管理：要求系统支持住院医生规培、轮转登记，规培成绩登记等功能。并能够登记带教老师补贴。</w:t>
                  </w:r>
                  <w:r>
                    <w:br w:type="textWrapping"/>
                  </w:r>
                  <w:r>
                    <w:rPr>
                      <w:color w:val="000000"/>
                      <w:sz w:val="22"/>
                    </w:rPr>
                    <w:t>院办管理：要求系统支持院办等行政职能部门对全院考勤记录进行查询、审核，要求支持行政职能部门对全院奖励、处罚情况进行记录。</w:t>
                  </w:r>
                  <w:r>
                    <w:br w:type="textWrapping"/>
                  </w:r>
                  <w:r>
                    <w:rPr>
                      <w:color w:val="000000"/>
                      <w:sz w:val="22"/>
                    </w:rPr>
                    <w:t>党办管理：要求实现党员党籍记录功能，支持医德考评功能。</w:t>
                  </w:r>
                  <w:r>
                    <w:br w:type="textWrapping"/>
                  </w:r>
                  <w:r>
                    <w:rPr>
                      <w:color w:val="000000"/>
                      <w:sz w:val="22"/>
                    </w:rPr>
                    <w:t>后勤管理：要求实现医院宿舍管理、宿舍登记等功能。并能够记录各宿舍水电费消耗情况。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526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培训管理系统</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要求提供培训计划、培训记录、培训考核、报表查询等功能功能详细需求说明如下：</w:t>
                  </w:r>
                  <w:r>
                    <w:br w:type="textWrapping"/>
                  </w:r>
                  <w:r>
                    <w:rPr>
                      <w:color w:val="000000"/>
                      <w:sz w:val="22"/>
                    </w:rPr>
                    <w:t>培训计划：要求支持根据医院需求制定培训计划，要求支持网上自动查询培训计划；要求支持多级次培训计划制定，可以按照院级、部级、科级。</w:t>
                  </w:r>
                  <w:r>
                    <w:br w:type="textWrapping"/>
                  </w:r>
                  <w:r>
                    <w:rPr>
                      <w:color w:val="000000"/>
                      <w:sz w:val="22"/>
                    </w:rPr>
                    <w:t>培训记录：要求提供培训讲师、培训场所、培训课程等信息维护功能，要求支持网上查询培训课程；要求支持上传多媒体培训资料，要求支持考试并打印培训证书。</w:t>
                  </w:r>
                  <w:r>
                    <w:br w:type="textWrapping"/>
                  </w:r>
                  <w:r>
                    <w:rPr>
                      <w:color w:val="000000"/>
                      <w:sz w:val="22"/>
                    </w:rPr>
                    <w:t>培训考核：要求实现需要考核的培训课程，进行考试安排，考核结果登记等功能；支持将考核结果相关文档上传功能。</w:t>
                  </w:r>
                  <w:r>
                    <w:br w:type="textWrapping"/>
                  </w:r>
                  <w:r>
                    <w:rPr>
                      <w:color w:val="000000"/>
                      <w:sz w:val="22"/>
                    </w:rPr>
                    <w:t>报表查询：要求系统能够提供签到表、考核表等多种培训报表；系统支持员工培训自助查询本人已培训记录、培训计划等。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527</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工资管理系统</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工资管理系统：要求提供基础设置、职工薪资、薪资变动、社保管理、公积金等功能。</w:t>
                  </w:r>
                  <w:r>
                    <w:br w:type="textWrapping"/>
                  </w:r>
                  <w:r>
                    <w:rPr>
                      <w:color w:val="000000"/>
                      <w:sz w:val="22"/>
                    </w:rPr>
                    <w:t>功能详细需求说明如下：</w:t>
                  </w:r>
                  <w:r>
                    <w:br w:type="textWrapping"/>
                  </w:r>
                  <w:r>
                    <w:rPr>
                      <w:color w:val="000000"/>
                      <w:sz w:val="22"/>
                    </w:rPr>
                    <w:t>基础设置：要求支持预设事业单位薪资标准、薪酬项目、计算公式等功能。</w:t>
                  </w:r>
                  <w:r>
                    <w:br w:type="textWrapping"/>
                  </w:r>
                  <w:r>
                    <w:rPr>
                      <w:color w:val="000000"/>
                      <w:sz w:val="22"/>
                    </w:rPr>
                    <w:t>职工薪资：要求支持满足不同类型员工不同薪酬项目的工资录入、保存、计算等功能。满足各类薪资报表查询功能。</w:t>
                  </w:r>
                  <w:r>
                    <w:br w:type="textWrapping"/>
                  </w:r>
                  <w:r>
                    <w:rPr>
                      <w:color w:val="000000"/>
                      <w:sz w:val="22"/>
                    </w:rPr>
                    <w:t>薪资变动：要求支持与档案管理联动，通过不同薪资变动类型的设置，自动调整岗位、薪级工资。</w:t>
                  </w:r>
                  <w:r>
                    <w:br w:type="textWrapping"/>
                  </w:r>
                  <w:r>
                    <w:rPr>
                      <w:color w:val="000000"/>
                      <w:sz w:val="22"/>
                    </w:rPr>
                    <w:t>社保管理：要求支持能够设置各类社保险种、各地区社保费率、缴费基数等功能，每个月自动根据工资计算社保，并能够提供各类报表查询。</w:t>
                  </w:r>
                  <w:r>
                    <w:br w:type="textWrapping"/>
                  </w:r>
                  <w:r>
                    <w:rPr>
                      <w:color w:val="000000"/>
                      <w:sz w:val="22"/>
                    </w:rPr>
                    <w:t>公积金：要求支持设置公积金缴费比率、缴费基数，每个月自动根据工资计算公积金，并能够提供各类公积金查询报表。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528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考勤管理系统</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要求提供考勤设置、加班管理、积休管理、考勤结果等功能功能详细需求说明如下：</w:t>
                  </w:r>
                  <w:r>
                    <w:br w:type="textWrapping"/>
                  </w:r>
                  <w:r>
                    <w:rPr>
                      <w:color w:val="000000"/>
                      <w:sz w:val="22"/>
                    </w:rPr>
                    <w:t>考勤设置：要求系统支持考勤项目设置、非工作日设置、考勤周期设置。</w:t>
                  </w:r>
                  <w:r>
                    <w:br w:type="textWrapping"/>
                  </w:r>
                  <w:r>
                    <w:rPr>
                      <w:color w:val="000000"/>
                      <w:sz w:val="22"/>
                    </w:rPr>
                    <w:t>加班管理：要求实现加班登记、加班审核等功能，并能够实现上级部门审批功能。</w:t>
                  </w:r>
                  <w:r>
                    <w:br w:type="textWrapping"/>
                  </w:r>
                  <w:r>
                    <w:rPr>
                      <w:color w:val="000000"/>
                      <w:sz w:val="22"/>
                    </w:rPr>
                    <w:t>积休管理：要求实现初始积休设置、积休录入、积休审核等功能。</w:t>
                  </w:r>
                  <w:r>
                    <w:br w:type="textWrapping"/>
                  </w:r>
                  <w:r>
                    <w:rPr>
                      <w:color w:val="000000"/>
                      <w:sz w:val="22"/>
                    </w:rPr>
                    <w:t>考勤结果：要求实现考勤数据维护、考勤表审核上报等功能，并能够与积休、</w:t>
                  </w:r>
                  <w:r>
                    <w:br w:type="textWrapping"/>
                  </w:r>
                  <w:r>
                    <w:rPr>
                      <w:color w:val="000000"/>
                      <w:sz w:val="22"/>
                    </w:rPr>
                    <w:t>排版等系统联动；支持按照核算科室、出勤科室不同科室进行考勤统计；支持每天考勤登记自定义天数。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529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排班管理系统</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要求提供班次分类、班次设置、区域设置、排班处理、排班查询、排班封存等功能。</w:t>
                  </w:r>
                  <w:r>
                    <w:br w:type="textWrapping"/>
                  </w:r>
                  <w:r>
                    <w:rPr>
                      <w:color w:val="000000"/>
                      <w:sz w:val="22"/>
                    </w:rPr>
                    <w:t>功能详细需求说明如下：</w:t>
                  </w:r>
                  <w:r>
                    <w:br w:type="textWrapping"/>
                  </w:r>
                  <w:r>
                    <w:rPr>
                      <w:color w:val="000000"/>
                      <w:sz w:val="22"/>
                    </w:rPr>
                    <w:t>班次分类：要求能设置不同种类的排班设置。</w:t>
                  </w:r>
                  <w:r>
                    <w:br w:type="textWrapping"/>
                  </w:r>
                  <w:r>
                    <w:rPr>
                      <w:color w:val="000000"/>
                      <w:sz w:val="22"/>
                    </w:rPr>
                    <w:t>班次设置：要求支持对不停班次类别的班次项目进行设置。区域设置：要求能够实现不同区域进行班次排班设置。</w:t>
                  </w:r>
                  <w:r>
                    <w:br w:type="textWrapping"/>
                  </w:r>
                  <w:r>
                    <w:rPr>
                      <w:color w:val="000000"/>
                      <w:sz w:val="22"/>
                    </w:rPr>
                    <w:t>排班处理：要求支持对不同类型人员按周/月进行排班设置；可以根据不同级别进行排班设置。</w:t>
                  </w:r>
                  <w:r>
                    <w:br w:type="textWrapping"/>
                  </w:r>
                  <w:r>
                    <w:rPr>
                      <w:color w:val="000000"/>
                      <w:sz w:val="22"/>
                    </w:rPr>
                    <w:t>排班查询：要求支持查询不同类型人员的排班表，支持员工自行查看自己的排班内容。</w:t>
                  </w:r>
                  <w:r>
                    <w:br w:type="textWrapping"/>
                  </w:r>
                  <w:r>
                    <w:rPr>
                      <w:color w:val="000000"/>
                      <w:sz w:val="22"/>
                    </w:rPr>
                    <w:t>排班封存：要求支持按照移动周期对排班结果进行封存，未经允许不能再动。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530</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财务票据管理</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基础设置</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要求支持对票据基础信息进行设置。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531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票据管理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票据管理：要求支持票据库存管理、票据领用管理、票据打印等;支持票据与凭证联查功能要求实现票据的购置、领用、二次领用、管理和单张票据核销等功能，并满票据等打印功能。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532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电子发票管理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要求支持电子发票管理从医院接/收角度可划分为接收的电子发票与开据的电子发票。</w:t>
                  </w:r>
                  <w:r>
                    <w:br w:type="textWrapping"/>
                  </w:r>
                  <w:r>
                    <w:rPr>
                      <w:color w:val="000000"/>
                      <w:sz w:val="22"/>
                    </w:rPr>
                    <w:t>要求支持接收的电子发票核心管理为校验电子发票(含发票)真伪、便捷录入电子发票登记、防范重复报销、电子发票档案等几部分内容。</w:t>
                  </w:r>
                  <w:r>
                    <w:br w:type="textWrapping"/>
                  </w:r>
                  <w:r>
                    <w:rPr>
                      <w:color w:val="000000"/>
                      <w:sz w:val="22"/>
                    </w:rPr>
                    <w:t>要求支持开据的电子发票核心管理为自动化开据电子发票、电子发票的领用、电子发票的使用(含打印)、电子发票核销及电子发票档案等几部分内容。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533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备查簿管理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要求提供管理应收票据、应付票据备查薄功能。要求能够及时查询票据使用及存档状况。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534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统计报表</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要求实现票据的库存汇总表、库存明细表、单张票据统计表、票据汇总统计表、票据出入库汇总表、往来款收据核销明细账等报表查询功能。</w:t>
                  </w:r>
                  <w:r>
                    <w:br w:type="textWrapping"/>
                  </w:r>
                  <w:r>
                    <w:rPr>
                      <w:color w:val="000000"/>
                      <w:sz w:val="22"/>
                    </w:rPr>
                    <w:t>要求实现医院票据全过程管理，实现医院票据管理与税控开票系统之间的数据一致性，完善高效管理降低发票溯源时间，实现精准搜索，保障票据使用安全。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535</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成本核算管理系统（科室成本管理系统）</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数据采集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要求系统提供收入数据采集、成本数据采集和工作量数据采集的业务功能，实现业务数据的自动归集和统计功能。</w:t>
                  </w:r>
                  <w:r>
                    <w:br w:type="textWrapping"/>
                  </w:r>
                  <w:r>
                    <w:rPr>
                      <w:color w:val="000000"/>
                      <w:sz w:val="22"/>
                    </w:rPr>
                    <w:t>具体功能要求包括：业务一体化设计，收入数据、成本数据和工作量数据除了可以手工录入外，主要还是通过各业务系统自动同步采集相关数据，为了方便客户使用，同时支持外部表单导入功能。</w:t>
                  </w:r>
                  <w:r>
                    <w:br w:type="textWrapping"/>
                  </w:r>
                  <w:r>
                    <w:rPr>
                      <w:color w:val="000000"/>
                      <w:sz w:val="22"/>
                    </w:rPr>
                    <w:t>收入数据采集：</w:t>
                  </w:r>
                  <w:r>
                    <w:br w:type="textWrapping"/>
                  </w:r>
                  <w:r>
                    <w:rPr>
                      <w:color w:val="000000"/>
                      <w:sz w:val="22"/>
                    </w:rPr>
                    <w:t>主要来源于HIS收费系统，按照HIS收费系统中的收费项目明细统计，要求可以支持按照HIS系统中的收费类别统计，数据结构真实化，包含收费时间、开单科室、执行科室、收费项目(类别)、金额、数据来源。</w:t>
                  </w:r>
                  <w:r>
                    <w:br w:type="textWrapping"/>
                  </w:r>
                  <w:r>
                    <w:rPr>
                      <w:color w:val="000000"/>
                      <w:sz w:val="22"/>
                    </w:rPr>
                    <w:t>成本数据采集：</w:t>
                  </w:r>
                  <w:r>
                    <w:br w:type="textWrapping"/>
                  </w:r>
                  <w:r>
                    <w:rPr>
                      <w:color w:val="000000"/>
                      <w:sz w:val="22"/>
                    </w:rPr>
                    <w:t>既可从财务总账中采集，也可以从各业务系统中采集，如工资从人力资源管理中采集，材料成本从物流系统中采集，资产折旧从资产管理系统中采集等。</w:t>
                  </w:r>
                  <w:r>
                    <w:br w:type="textWrapping"/>
                  </w:r>
                  <w:r>
                    <w:rPr>
                      <w:color w:val="000000"/>
                      <w:sz w:val="22"/>
                    </w:rPr>
                    <w:t>工作量、服务量采集：</w:t>
                  </w:r>
                  <w:r>
                    <w:br w:type="textWrapping"/>
                  </w:r>
                  <w:r>
                    <w:rPr>
                      <w:color w:val="000000"/>
                      <w:sz w:val="22"/>
                    </w:rPr>
                    <w:t>除了系统提供内置的数据结构，也可按照客户需求自定义采集数据结构。</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536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成本分摊</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成本分摊：紧密结合制度的三级四类分摊原则，将医院科室分成四类(直接医疗类、医疗技术类、医疗辅助类和管理类)，采用科学合理的分摊方法，设置不同的分摊参数，实现各级分摊，最终将医院的成本有效合理地分摊到体现医疗成果的科室上。</w:t>
                  </w:r>
                  <w:r>
                    <w:br w:type="textWrapping"/>
                  </w:r>
                  <w:r>
                    <w:rPr>
                      <w:color w:val="000000"/>
                      <w:sz w:val="22"/>
                    </w:rPr>
                    <w:t>具体功能要求包括：要求系统提供自定义分摊参数设置功能，按照医院客户实际情况，科学合理设置分摊参数；要求采用定向分摊配置的方式配置科室分摊关系，实现科室成本的定向分摊；要求采用科室分摊设置功能实现成本可以跨级次分摊，分摊到指定科室上；采用科室分摊性质设定，实现不同科室采用不同的分摊方法。</w:t>
                  </w:r>
                  <w:r>
                    <w:br w:type="textWrapping"/>
                  </w:r>
                  <w:r>
                    <w:rPr>
                      <w:color w:val="000000"/>
                      <w:sz w:val="22"/>
                    </w:rPr>
                    <w:t>要求支持设定多种分摊参数，根据需要灵活使用，如科室人员、科室面积、门急诊人次、占用床日数等，同时要求支持采用根据情况自定义的分摊参数进行分摊。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537</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报表分析</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要求系统带有各类报表的自动产出功能，包括制度的三类成本报表，并提供多角度多维度的院级成本分析和科室级成本分析报表和分析功能。</w:t>
                  </w:r>
                  <w:r>
                    <w:br w:type="textWrapping"/>
                  </w:r>
                  <w:r>
                    <w:rPr>
                      <w:color w:val="000000"/>
                      <w:sz w:val="22"/>
                    </w:rPr>
                    <w:t>具体功能要求包括：要求系统按照国家财务制度制定了多张科室成本报表，并提供指标分析、盈亏分析、结余分析、构成分析、本量利分析、成本绩效分析、排序分析等多种维度的分析报表，为医院做经营分析提供有力可靠的数据依据，帮助医院领导顺利开展资源分配和运营调整工作。</w:t>
                  </w:r>
                  <w:r>
                    <w:br w:type="textWrapping"/>
                  </w:r>
                  <w:r>
                    <w:rPr>
                      <w:color w:val="000000"/>
                      <w:sz w:val="22"/>
                    </w:rPr>
                    <w:t>成本报表：</w:t>
                  </w:r>
                  <w:r>
                    <w:br w:type="textWrapping"/>
                  </w:r>
                  <w:r>
                    <w:rPr>
                      <w:color w:val="000000"/>
                      <w:sz w:val="22"/>
                    </w:rPr>
                    <w:t>按照制度规定，要求严格按照规定格式上报的成本报表，包括临科室直接成本表、临床服务类科室全成本表、临床服务类科室全成本构成分析表。</w:t>
                  </w:r>
                  <w:r>
                    <w:br w:type="textWrapping"/>
                  </w:r>
                  <w:r>
                    <w:rPr>
                      <w:color w:val="000000"/>
                      <w:sz w:val="22"/>
                    </w:rPr>
                    <w:t>指标分析：</w:t>
                  </w:r>
                  <w:r>
                    <w:br w:type="textWrapping"/>
                  </w:r>
                  <w:r>
                    <w:rPr>
                      <w:color w:val="000000"/>
                      <w:sz w:val="22"/>
                    </w:rPr>
                    <w:t>要求根据门急诊人次，占用床日数等各项业务指标，做出全院和各科室的经营分析。</w:t>
                  </w:r>
                  <w:r>
                    <w:br w:type="textWrapping"/>
                  </w:r>
                  <w:r>
                    <w:rPr>
                      <w:color w:val="000000"/>
                      <w:sz w:val="22"/>
                    </w:rPr>
                    <w:t>盈亏分析：</w:t>
                  </w:r>
                  <w:r>
                    <w:br w:type="textWrapping"/>
                  </w:r>
                  <w:r>
                    <w:rPr>
                      <w:color w:val="000000"/>
                      <w:sz w:val="22"/>
                    </w:rPr>
                    <w:t>要求根据科室收入支出情况，做出门诊科室门诊收入、门诊成本的盈亏分析，住院科室住院收入、住院成本的盈亏分析，从而有效反映出盈亏原因。</w:t>
                  </w:r>
                  <w:r>
                    <w:br w:type="textWrapping"/>
                  </w:r>
                  <w:r>
                    <w:rPr>
                      <w:color w:val="000000"/>
                      <w:sz w:val="22"/>
                    </w:rPr>
                    <w:t>结余分析：</w:t>
                  </w:r>
                  <w:r>
                    <w:br w:type="textWrapping"/>
                  </w:r>
                  <w:r>
                    <w:rPr>
                      <w:color w:val="000000"/>
                      <w:sz w:val="22"/>
                    </w:rPr>
                    <w:t>要求支持全院情况的结余分析，科室的结余分析，科室直接成本的收益分析，科室全成本的收益分析。</w:t>
                  </w:r>
                  <w:r>
                    <w:br w:type="textWrapping"/>
                  </w:r>
                  <w:r>
                    <w:rPr>
                      <w:color w:val="000000"/>
                      <w:sz w:val="22"/>
                    </w:rPr>
                    <w:t>构成分析：</w:t>
                  </w:r>
                  <w:r>
                    <w:br w:type="textWrapping"/>
                  </w:r>
                  <w:r>
                    <w:rPr>
                      <w:color w:val="000000"/>
                      <w:sz w:val="22"/>
                    </w:rPr>
                    <w:t>要求支持医院、科室的收入、支出构成分析。比如科室收入项目构成情况、成本项目构成情况等。</w:t>
                  </w:r>
                  <w:r>
                    <w:br w:type="textWrapping"/>
                  </w:r>
                  <w:r>
                    <w:rPr>
                      <w:color w:val="000000"/>
                      <w:sz w:val="22"/>
                    </w:rPr>
                    <w:t>排序分析：</w:t>
                  </w:r>
                  <w:r>
                    <w:br w:type="textWrapping"/>
                  </w:r>
                  <w:r>
                    <w:rPr>
                      <w:color w:val="000000"/>
                      <w:sz w:val="22"/>
                    </w:rPr>
                    <w:t>要求支持从科室收入、科室直接成本、医疗全收入、医疗全成本等不同的角度来反映排名情况。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538</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成本核算管理系统（项目成本管理系统）</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基础设置</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要求包含医疗项目成本核算所需的收入信息，成本信息，人员信息，工资信息，奖金信息，其他成本信息等；要求基础信息支持HRP各个模块的同步功能。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539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作业成本法</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包括成本数据维护，核算方案维护，核算方案审核，核算数据准备，项目成本核算，核算结果查询；成本数据维护中包含劳动数据采集与物化数据采集；要求支持同时采用不同成本核算方案进行期间项目成本核算；支持核算基础数据准备的数据处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540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收入比法</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要求包括成本数据维护，核算方案维护，核算方案审核，核算数据准备，项目成本核算，核算结果查询；要求支持同时采用不同成本核算方案进行期间项目成本核算；支持核算基础数据准备的数据处理。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541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相对价值比率法</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要求包括成本数据维护，核算方案维护，核算方案审核，核算数据准备，项目成本核算，核算结果查询；要求支持同时采用不同成本核算方案进行期间项目成本核算；支持核算基础数据准备的数据处理。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542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劳动价值比率法</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要求包括成本数据维护，核算方案维护，核算方案审核，核算数据准备，项目成本核算，核算结果查询；要求支持同时采用不同成本核算方案进行期间项目成本核算；支持核算基础数据准备的数据处理。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543</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成本核算管理系统（病种成本管理系统）</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基础设置</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要求支持医嘱分类维护，诊断类型维护，麻醉种类维护，转归字典维护，药品类别维护，药品字典维护，诊断项目维护等。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544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病种方案制定</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要求支持核算方案维护，核算路径制订，核算期间设置，诊断编码维护，手术编码维护等。病种入组规则设定，病种库维护，病例样本抽取规则，临床路径时程划分等。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545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病种方案审核</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要求支持病种方案审核，病种方案应用，病种方案查询。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546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核算数据采集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要求支持病案基本信息采集，病案诊断数据采集，病案手术数据采集，病案信息综合查询等。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547</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病种数据准备</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要求支持病种病案入组，病种医嘱入组，医嘱时程划分等；病案样本抽取，医嘱同类项合并等。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548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病种核算模型</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要求支持病种核算模型(病人CLP),病种核算模型(医师CLP)。</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549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病种核算核算</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要求支持药品成本核算，收费材料成本核算，医疗项目成本核算，病种成本核算，病种成本核算查询；科室病种成本核算(病人CLP),科室病种成本核算(医师CLP),全院病种成本核算(病人CLP),全院病种成本核算(医师CLP)</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550</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会计核算系统</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会计核算首页</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支持流程导航图，并且能够点击流程图各节点进行操作。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551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凭证管理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凭证管理：包含凭证制单、凭证保存、凭证打印、凭证删除、出纳签字、凭证审核、冲销、查询、删除、作废、恢复、复制:支持财务会计、预算会计凭证金额不等自动拆分:支持批量导入会计凭证辅助账。辅助账能够按照不同资金来源过滤:支持自定义设置出纳审核流程:可以上传凭证原始附件，并且能够打开附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552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自动凭证</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系统需满足收入、材料、资产、药品、工资等向会计自动生成凭证功能；支持批量设置会计凭证差异标注；支持自定义设置自动凭证模板。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553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账薄查询</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账簿查询包括科目账、辅助账、余额表、备查簿、账簿打印、现金流量明细表等信息。包含支持新会计制度的坏账准备备查薄；支持账薄穿透功能。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554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往来账管理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往来账管理：反映往来单位、本单位职工和核算主体单位之间的资金往来情况，包括核销和往来核销明细查询和核销清册数据，以及应收账款多种方式自动提取坏账等功能:支持个人往来催款单功能;往来账核销记录对账关系。</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555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出纳账管理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基于出纳管理的需要，包括出纳的全部工作内容：现金银行出纳流水账登记、现金银行日记账管理、出纳对账、银行对账等日常工作处理；银行对账支持对账序列；支持登记电子发票功能。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556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工资管理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通过将人员档案、工资项目等关联，针对不同人员或部门进行工资方案的定制，出具工资条、工资报表等各类数据。支持现金发放和银行发放两种方式，支持工资调整与记录，支持工资相关会计凭证的自动生成，支持个税与公积金的扣缴与查询；支持多套工资核算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557</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期末处理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月末处理、年末处理等功能；支持提取医疗风险基金按照各科室进行提取；支持提取工会经费各科室直接列支；支持收支自动结转；支持余额百分比、账龄分析法提取坏账准备，并且列支到科室明细辅助；支持公共费用分摊，自动生成凭证；支持合作科室费用分摊，自动生成凭证；支持自动待摊费用处理；年末处理支持年末自动结转，待分配结余等功能；支持年度预算下达数登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558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财务报表</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提供配套的自定义函数，通过此工具实现财务报表、预算报表、附注表等上级单位规定的报表。还可以定义满足用户财务分析的个性化需求的报表。支持集团化报表功能。</w:t>
                  </w:r>
                  <w:r>
                    <w:br w:type="textWrapping"/>
                  </w:r>
                  <w:r>
                    <w:rPr>
                      <w:color w:val="000000"/>
                      <w:sz w:val="22"/>
                    </w:rPr>
                    <w:t>满足2019年《新政府会计制度》的管理要求，建立以会计核算为核心的一体化账务体系，与各业务系统建立无缝连接，从业务数据中能自动生成财务会计凭证和预算会计凭证信息，通过会计凭证联查业务基础信息，追溯到原始数据。医院人、财、物、收费等各业务系统账务数据与会计核算中反映的信息一致，做到“账实相符、账账相符”,减少财务部门凭证录入量，保证信息的准确性，提升工作效率。</w:t>
                  </w:r>
                  <w:r>
                    <w:br w:type="textWrapping"/>
                  </w:r>
                  <w:r>
                    <w:rPr>
                      <w:color w:val="000000"/>
                      <w:sz w:val="22"/>
                    </w:rPr>
                    <w:t>实现原始单据图像采集，实现财务电子化归档管理，延长会计原始票据保存期。</w:t>
                  </w:r>
                  <w:r>
                    <w:br w:type="textWrapping"/>
                  </w:r>
                  <w:r>
                    <w:rPr>
                      <w:color w:val="000000"/>
                      <w:sz w:val="22"/>
                    </w:rPr>
                    <w:t>支持全面核算管理。可以处理科室核算、科研项目核算、往来单位核算、供应商往来核算、职工往来核算、病种核算等多种核算账，并支持自定义辅助核算。</w:t>
                  </w:r>
                  <w:r>
                    <w:br w:type="textWrapping"/>
                  </w:r>
                  <w:r>
                    <w:rPr>
                      <w:color w:val="000000"/>
                      <w:sz w:val="22"/>
                    </w:rPr>
                    <w:t>满足医院现金流量核算的特殊要求。结合医疗业务特点，制作医院的现金流量表，及时准确的反映现金的流入流出状况。</w:t>
                  </w:r>
                  <w:r>
                    <w:br w:type="textWrapping"/>
                  </w:r>
                  <w:r>
                    <w:rPr>
                      <w:color w:val="000000"/>
                      <w:sz w:val="22"/>
                    </w:rPr>
                    <w:t>支持医院以集团化形式运作的“财务集中管理”模式。实现集团内财务的规范化管理，以及主管机构对下属医疗机构的财务查询、财务监管、综合财务分析和报表汇总、合并等功能。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559</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物资管理系统（采购管理系统）</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供应商管理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要求提供供应商相关信息维护及供应商附属相关信息维护；可添加证件分类、查询供应商证件信息，要求支持供应商评价功能。供应商信息维护、供应商资质证件管理，并能够对有效证件到期预警。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560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生产厂商管理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要求支持生产厂商信息及附属信息维护。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561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材料证件管理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要求支持可添加证件信息、证件分类、证件材料管理及证件材料查询。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562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科室需求计划管理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要求支持根据科室需求编制需求计划，提供编制、审核、汇总、查询等功能；仓库需求计划：根据仓储需求编制需求计划，提供编制、审核、汇总、查询等功能。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563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采购计划管理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采购协议管理：要求支持采购协议信息、协议临近到期提醒等信息设置；基础设置；协议类别设置，可设置协议编码、名称、时间、预警天数等信息；系统支持协议价格控制功能。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564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订单管理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订单编辑：要求支持手工录入添加订单、采购计划生成订单模式，并可对订单进行修改。</w:t>
                  </w:r>
                  <w:r>
                    <w:br w:type="textWrapping"/>
                  </w:r>
                  <w:r>
                    <w:rPr>
                      <w:color w:val="000000"/>
                      <w:sz w:val="22"/>
                    </w:rPr>
                    <w:t>订单审核：要求支持对订单进行审核，能够核对修改供应商、数量、金额、到货日期等信息。</w:t>
                  </w:r>
                  <w:r>
                    <w:br w:type="textWrapping"/>
                  </w:r>
                  <w:r>
                    <w:rPr>
                      <w:color w:val="000000"/>
                      <w:sz w:val="22"/>
                    </w:rPr>
                    <w:t>订单发送：要求支持订单发送到供应商平台，并微信、短信等方式提醒供应商及时送货</w:t>
                  </w:r>
                  <w:r>
                    <w:br w:type="textWrapping"/>
                  </w:r>
                  <w:r>
                    <w:rPr>
                      <w:color w:val="000000"/>
                      <w:sz w:val="22"/>
                    </w:rPr>
                    <w:t>订单查询：要求支持能够查询订单信息，包括材料数量、金额、供应商信息等。</w:t>
                  </w:r>
                  <w:r>
                    <w:br w:type="textWrapping"/>
                  </w:r>
                  <w:r>
                    <w:rPr>
                      <w:color w:val="000000"/>
                      <w:sz w:val="22"/>
                    </w:rPr>
                    <w:t>订单执行：要求支持能够查询统计订单执行跟踪情况。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565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采购协议管理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要求支持采购协议信息、协议临近到期提醒等信息设置；基础设置；协议类别设置，可设置协议编码、名称、时间、预警天数等信息；系统支持协议价格控制功能。</w:t>
                  </w:r>
                  <w:r>
                    <w:br w:type="textWrapping"/>
                  </w:r>
                  <w:r>
                    <w:rPr>
                      <w:color w:val="000000"/>
                      <w:sz w:val="22"/>
                    </w:rPr>
                    <w:t>要求支持实现从科室需求、到采购计划、订单、供应商、资质信息、供应的全方位管理。有效追踪采购过程全程信息，提升采购效率，保证采购质量安全。与供应商平台协同工作，实现院内院外物流的全过程闭环管理。</w:t>
                  </w:r>
                  <w:r>
                    <w:br w:type="textWrapping"/>
                  </w:r>
                  <w:r>
                    <w:rPr>
                      <w:color w:val="000000"/>
                      <w:sz w:val="22"/>
                    </w:rPr>
                    <w:t>要求支持支持集团化采购模式，实现集团化统一采购、带量采购，控制采购成本。</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566</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物资管理系统（库存管理系统）</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物资分类管理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要求支持将物资按照低值易耗品、卫生材料、其他材料、捐赠物资、药品等进行分类，能够自定义分类编码规则。材料财务分类：要求支持能够按照财务进行分类。</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567</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物资财务分类管理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要求支持物流按照财务要求进行分类设置，便于财务系统对接。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568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物资材料管理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支持物资材料的添加、修改功能；要求支持物资材料变更查询：要求支持实现物资材料相关信息变更的查询。一级采购库房、二级科室库房信息的添加、修改、查询等功能；库房变更查询：提供库房变更查询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569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货位信息管理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支持将货位进行分类设置，如医疗用品类、针剂类、试剂类、药品类等；货位字典：货位字典设置，货位编码、货位名称、货位分类、所属库房等相关设置。要求支持库房货位管理，可建立货位分类、货位字典建立。</w:t>
                  </w:r>
                  <w:r>
                    <w:br w:type="textWrapping"/>
                  </w:r>
                  <w:r>
                    <w:rPr>
                      <w:color w:val="000000"/>
                      <w:sz w:val="22"/>
                    </w:rPr>
                    <w:t>提供虚仓设置，要求支持满足只核算数量但不核算金额的存货的库存管理；仓库材料定义：支持设立材料与仓库的对应关系；仓库采购员设置：仓库采购人员设置；安全库存设置：可根据需要设置安全库存量。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570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期初管理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要求支持常备材料、代销材料的期初入库的添加、修改功能；期初记账：物资期初入库记账。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571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材料管理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材料入库：要求支持材料入库的添加、修改功能，可实现手工制单、配套表入库、按照订单导入、按照送货单入库等模式，支持材料按批号、批次入库。</w:t>
                  </w:r>
                  <w:r>
                    <w:br w:type="textWrapping"/>
                  </w:r>
                  <w:r>
                    <w:rPr>
                      <w:color w:val="000000"/>
                      <w:sz w:val="22"/>
                    </w:rPr>
                    <w:t>材料退货：要求支持材料退货管理，可按照手工制单、入库单整单或者部分冲账模式进行退货科室申领：要求支持科室根据需求申领物资，设置科室申领功能；科室申领自动分拣功能。</w:t>
                  </w:r>
                  <w:r>
                    <w:br w:type="textWrapping"/>
                  </w:r>
                  <w:r>
                    <w:rPr>
                      <w:color w:val="000000"/>
                      <w:sz w:val="22"/>
                    </w:rPr>
                    <w:t>科室申领审核：要求支持可单独、可批量审核科室申领申请，审核通过可批量生成出库单。</w:t>
                  </w:r>
                  <w:r>
                    <w:br w:type="textWrapping"/>
                  </w:r>
                  <w:r>
                    <w:rPr>
                      <w:color w:val="000000"/>
                      <w:sz w:val="22"/>
                    </w:rPr>
                    <w:t>材料出库：要求支持可使用配套导入、历史使用导入、定向出库、自动冲账或者选择材料的方式先择材料出库。</w:t>
                  </w:r>
                  <w:r>
                    <w:br w:type="textWrapping"/>
                  </w:r>
                  <w:r>
                    <w:rPr>
                      <w:color w:val="000000"/>
                      <w:sz w:val="22"/>
                    </w:rPr>
                    <w:t>要求系统支持科研支出功能，要求支持材料按批号、批次出库。</w:t>
                  </w:r>
                  <w:r>
                    <w:br w:type="textWrapping"/>
                  </w:r>
                  <w:r>
                    <w:rPr>
                      <w:color w:val="000000"/>
                      <w:sz w:val="22"/>
                    </w:rPr>
                    <w:t>材料调拨：要求支持可添加、修改材料调拨单，使材料在一级库到二级库、二级库各仓库间能够调拨；系统支持集团内调拨功能。</w:t>
                  </w:r>
                  <w:r>
                    <w:br w:type="textWrapping"/>
                  </w:r>
                  <w:r>
                    <w:rPr>
                      <w:color w:val="000000"/>
                      <w:sz w:val="22"/>
                    </w:rPr>
                    <w:t>库存管理：要求支持库存盘点：可添加、修改盘点信息，生成盘点汇总表，可查询仓库材料账面数。</w:t>
                  </w:r>
                  <w:r>
                    <w:br w:type="textWrapping"/>
                  </w:r>
                  <w:r>
                    <w:rPr>
                      <w:color w:val="000000"/>
                      <w:sz w:val="22"/>
                    </w:rPr>
                    <w:t>库存查询：要求包括库存明细查询、供应商采购明细查询、入库明细查询、科室领用明细、出库明细查询、入库台账报表查询。</w:t>
                  </w:r>
                  <w:r>
                    <w:br w:type="textWrapping"/>
                  </w:r>
                  <w:r>
                    <w:rPr>
                      <w:color w:val="000000"/>
                      <w:sz w:val="22"/>
                    </w:rPr>
                    <w:t>报表管理：要求支持材料库存汇总表设置、材料库存汇总表查询、科室出库查询表查询、出库明细汇总表查询；材料明细表查询、库存材料收发账表查询、库存材料收发账表(虚仓)查询；供应商采购汇总查询、科室及物资出库分类查询、按仓库、业务类型分的材料收发结存查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572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付款管理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要求支持按照入库单据添加、修改采购发票相关信息；支持按消耗情况付款；支持一张发票对应多张入库单，一张付款单对应多张发票，同时支持拆单付款；支持货票同行以及后补发票功能。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573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预警查询</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要求提供安全库存预警、超高限预警、短缺货预警。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574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期末结账</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要求系统支持按月结账，并支持分库房结账功能。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575</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物资管理系统（高值耗材管理系统）</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物资材料管理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要求支持按照高值分类建立材料字典，材料字典设置是否介入、是否植入、是否条码管理属性信息，满足不同高值耗材的管理流程。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576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代销管理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代销入库：要求支持可添加代销入库单，制单模式支持手工录入、订单导入或配套表导入，条码管理材料入库时可生成个体码或者录入原厂码。代销退货：要求支持手工制单，或者原入库单冲账模式。</w:t>
                  </w:r>
                  <w:r>
                    <w:br w:type="textWrapping"/>
                  </w:r>
                  <w:r>
                    <w:rPr>
                      <w:color w:val="000000"/>
                      <w:sz w:val="22"/>
                    </w:rPr>
                    <w:t>代销出库：要求支持手工制单、配套表导入、入库单整单出库模式；系统支持材料按批号、批次出库。</w:t>
                  </w:r>
                  <w:r>
                    <w:br w:type="textWrapping"/>
                  </w:r>
                  <w:r>
                    <w:rPr>
                      <w:color w:val="000000"/>
                      <w:sz w:val="22"/>
                    </w:rPr>
                    <w:t>代销调拨：要求支持一级库房到二级库房、二级库库房直接调拨功能。系统支持集团内调拨功能。</w:t>
                  </w:r>
                  <w:r>
                    <w:br w:type="textWrapping"/>
                  </w:r>
                  <w:r>
                    <w:rPr>
                      <w:color w:val="000000"/>
                      <w:sz w:val="22"/>
                    </w:rPr>
                    <w:t>代销盘点：要求支持建立盘点表，按账实物盘点。</w:t>
                  </w:r>
                  <w:r>
                    <w:br w:type="textWrapping"/>
                  </w:r>
                  <w:r>
                    <w:rPr>
                      <w:color w:val="000000"/>
                      <w:sz w:val="22"/>
                    </w:rPr>
                    <w:t>代销库存查询：要求包括库存明细查询、库存分布查询、供应商采购明细查询、供应商采购汇总查询、入库明细查询、科室领用明细、出库明细查询。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577</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专购品管理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要求实现医院专购品管理功能、支持代销使用后材料生成专购品出入库单。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578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条码查询</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要求支持对条码进行查询、查询条码管理的高值耗材条码、库存情况等。</w:t>
                  </w:r>
                  <w:r>
                    <w:br w:type="textWrapping"/>
                  </w:r>
                  <w:r>
                    <w:rPr>
                      <w:color w:val="000000"/>
                      <w:sz w:val="22"/>
                    </w:rPr>
                    <w:t>要求支持在标准物资管理的基础上，针对高值医疗耗材，优化业务流程，实现更精细化管理。按照代销的管理模式，严格控制高值医用耗材的不合理使用，实现一物一码全过程闭环管理，要求实现高值材料的全流程条码追溯跟踪管理，跟踪到最终患者的使用环节。避免高值耗材库存资金占用，保证高值耗材及时供应和质量安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579</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物资管理系统（耐用品管理系统）</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期初管理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要求支持可录入库房的耐用品期初、科室耐用品期初、可完成期初记账功能。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580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耐用品流转</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要求支持可实现耐用品入库、耐用品库到库、库到科室、科室到科室流转的过程管理。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581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耐用品报废</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要求支持可实现耐用品库房报废和耐用品科室报废等功能。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582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耐用品盘点</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要求支持可实现耐用品库房盘点和耐用品科室盘点等功能。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583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耐用品查询</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要求支持包括耐用品流转查询、耐用品明细账、全院耐用品数量分布、耐用品库存查询、耐用品收发存报表、耐用品报废明细表、耐用品五五摊销报表、耐用品领用查询等查询功能。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584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耐用品定额</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耐用品定额数量管理。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585</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物资管理系统（医嘱核销系统）</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库房信息</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要求支持能够建立科室二级库，实现物资从一级库房转移到科室库。</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586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医嘱核销</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要求实现与HIS系统连通，根据HIS系统的医嘱信息实现收费材料库存扣减；采用WEBSERVICE实时在线核销库存。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587</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核销设置</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要求实现仓库与科室对应、收费材料与HIS收费项目对照。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588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核销查询</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要求支持对已经出库的材料可按照条码、材料信息查询病人信息、按照病人信息查询材料使用情况。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589</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固定资产管理系统（医疗设备租赁中心系统）</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租赁申请</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要求支持临床科室可以通过手机端发起租赁申请。发起申请后，系统支持通过短信方式发送通知给租赁中心管理人员。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590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借出管理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要求支持租赁中心工作人员，可以通过PDA扫码借出，方便快捷准确，避免出现租借登记与借出设备不符的问题。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591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归还管理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要求支持多种方式归还。</w:t>
                  </w:r>
                  <w:r>
                    <w:br w:type="textWrapping"/>
                  </w:r>
                  <w:r>
                    <w:rPr>
                      <w:color w:val="000000"/>
                      <w:sz w:val="22"/>
                    </w:rPr>
                    <w:t>要求支持临床科室使用完设备后，可以发起归还申请，通知租赁中心取回设备，租赁中心取回后，完成归还。</w:t>
                  </w:r>
                  <w:r>
                    <w:br w:type="textWrapping"/>
                  </w:r>
                  <w:r>
                    <w:rPr>
                      <w:color w:val="000000"/>
                      <w:sz w:val="22"/>
                    </w:rPr>
                    <w:t>要求支持临床科室直接送还设备，租赁中心办理归还。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592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续借管理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要求支持临近预期的租借设备时间，临床科室可以在移动端申请续借，发起续借申请后，发送通知到租赁中心，租赁中心根据实际情况对续借进行审核确认。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593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租赁中心设备分布</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要求支持相关人员可以通过微信了解租赁中心设备情况，更加清晰在库租赁设备有多少，在修的有多少，借出的有多少。</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594</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固定资产管理系统（资产管理系统）</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购置申请</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要求根据医院需求实现固定资产采购申请管理。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595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购置计划</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要求根据医院需求实现固定资产采购计划管理。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596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购置申请</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要求根据医院需求实现固定资产采购申请管理。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597</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购置计划</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要求根据医院需求实现固定资产采购计划管理。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598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招标管理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要求实现整个招标管理流程，从论证、立项、招投标公示等过程。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599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资产安装</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要求实现资产安装管理，包括资产编码、资产名称、规格、型号、品牌、生产厂商、安装数量、安装费用等安装信息的维护。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600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资产验收</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要求支持固定资产验收管理，支持按验收项目逐项验收。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601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资产入库和出库</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要求支持固定资产入库管理，支持批量入库，支持房屋卡片式入库，入库自动生成卡片，支持入库维护资金来源。</w:t>
                  </w:r>
                  <w:r>
                    <w:br w:type="textWrapping"/>
                  </w:r>
                  <w:r>
                    <w:rPr>
                      <w:color w:val="000000"/>
                      <w:sz w:val="22"/>
                    </w:rPr>
                    <w:t>要求支持固定资产出库管理，支出批量出库，定向出库等功能。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602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资产调剂</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要求实现不同层面的资产调剂处理。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603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资产调拨</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要求支持集团化内部调拨，支持平价调拨、异价调拨。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604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资产盘点</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实现资产盘点单据的新增、修改、删除等功能，支持PDA、手机等手持设备移动盘点功能。通过资产盘盈(盘盈申报和盘盈入库)、资产盘亏(盘亏申报和盘亏记录)等盘点结果准确反映医院固定资产分布情况。支持固定资产一物一码的二维码管理模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605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原值变动</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实现固定资产原值增加、原值减少等功能。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606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累计折旧变动</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实现固定资产累计折旧增加、累计折旧减少等功能。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607</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资产改造</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实现资产改造申报、资产改造记录、资产改造竣工等功能。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608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资产处置</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资产报废处置、置换处置、出售出让处置、退货处置管理。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609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卡片管理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支持多资金来源管理。支持同一卡片多使用科室按照不同比例分摊折旧成本。支持查询卡片维修记录，支持上传资产照片，支持上传卡片相关附件。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610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付款管理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系统实现了发票管理、付款管理等功能。支持发票与入库单相关联，可以根据入库单直接生成发票，也可以后补发票。支持多种付款方式，支持分期付款等。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611</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固定资产管理系统（大型医疗设备效益分析系统）</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基础数据管理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支持基础数据管理作为设备效益分析的基础，提供了收入、支出方面的服务项、服务细项、服务与服务细项对照、消耗项目、消耗资源等基础数据的维护功能。要求支持服务项、消耗项目、消耗资源、服务细项、服务与服务细项对照等数据维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612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数据导入导出</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要求支持多种文件类型(表格、文本)的导入，多种导入模式，导入模板更灵活，且能预校验数据，要求支持将不符合数据逻辑规则的错误信息提示出来。导入失败的数据可以重新导出再整理。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613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服务项目消耗</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要求支持在提供相应的医疗服务项目时，其所消耗的各种消耗项目的明细以及数量。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614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设备服务消耗项目</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支持在提供相同的医疗服务项目时，不同的设备其所消耗的各种消耗项目的明细以及数量可能不同，可以通过此功能可以对消耗项目的消耗进行更精细化的管理。要求支持明确到每一种设备提供该种服务时所消耗的消耗项目，甚至明确到具体一台设备其提供该种服务时，所消耗的消耗项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615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质控项目消耗</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要求支持除了在医疗设备为患者提供医疗服务的过程外，支持对医疗设备进行定期的质控的过程当中，消耗的消耗项目进行管理。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616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月度资源消耗</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要求支持当医疗设备在使用过程当中，每月消耗的资源大致相同，浮动不大的情况下，要求支持通过此功能定义设备每月所消耗的各种资源数量以及费用。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617</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设备对照</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要求支持效益分析设备与其他系统中的设备进行设备对照管理，为数据采集提供支持。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618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设备服务对照</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要求系统支持对进行效益分析的医疗设备，管理其可以提供的医疗服务项目信息。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619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专技人员管理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要求系统提供对可操作大型医疗设备的专业医技人员信息登记。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620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设备使用记录及查询</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要求支持对医疗设备的使用信息，可以通过基础数据维护、设备对照及接口方式采集数据。同时支持数据导入、手工录入方式。要求支持指定年度、指定月份或指定时间段的设备使用信息的查询汇总。</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621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设备使用消耗项目和查询</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要求支持医疗设备的使用信息支持以下三种方式：系统自动根据基础数据生成、表格导入、手工录入。</w:t>
                  </w:r>
                  <w:r>
                    <w:br w:type="textWrapping"/>
                  </w:r>
                  <w:r>
                    <w:rPr>
                      <w:color w:val="000000"/>
                      <w:sz w:val="22"/>
                    </w:rPr>
                    <w:t>要求支持查询设备在指定时间段的使用的消耗项目信息。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622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设备使用消耗资源和查询</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要求支持根据月度资源消耗定义，系统自动滚动生成设备每月消耗的资源、表格导入、手工录入的方式增加记录。</w:t>
                  </w:r>
                  <w:r>
                    <w:br w:type="textWrapping"/>
                  </w:r>
                  <w:r>
                    <w:rPr>
                      <w:color w:val="000000"/>
                      <w:sz w:val="22"/>
                    </w:rPr>
                    <w:t>要求支持查询设备在指定时间段的使用资源信息。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623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收益分析</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要求支持收益分析通过统计计算收入、支出，计算出利润和净利润率，来反映该医疗设备提供医疗服务获得收入后，其获得利润的能力，用以反映收入与利润之间的关系。</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624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收支明细分析</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要求支持主要用于分析该设备在提供医疗服务过程当中，其成本总体支出情况，以及各种成本支出在总成本中所占比重。用以发现成本偏高的项目，为管理者发现问题及改善管理提供帮助。</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625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投资效益分析</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系统支持从投资收益率和回收期的角度进行分析，分析该设备的投资的收益能力。分析设备投资后年净收益总额与设备投资总额的比率，提供评价投资盈利能力的静态指标和设备投资每年所创造的年净收益额。</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626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量本利分析</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要求支持在变动成本计算模式的基础上，以数学化的会计模型与图文来揭示固定成本、变动成本、销售量、单价、销售额、利润等变量之间的内在规律性的联系。</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627</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动态分析</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支持投资效益分析主要从投资收益率和回收期的角度进行分析，分析该设备的投资的收益能力。支持将资金时间价值也考虑在内，更全面准确的反映了设备的投资的收益能力，动态的对设备的投资收益和回收期进行分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628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决策分析</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支持通过设备的各年净收益，根据内涵报酬率折算到设备采购当年，对设备的效益进行分析。对比内涵报酬率与折现率，分析真正的收益。内涵报酬率越大，表明收益越高，在决策分析当中也考虑了时间及利率因素。要求支持集团化医院，可以从集团角度对各分院设备进行对比分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629</w:t>
                  </w:r>
                </w:p>
              </w:tc>
              <w:tc>
                <w:tcPr>
                  <w:tcW w:w="464" w:type="dxa"/>
                  <w:vMerge w:val="continue"/>
                  <w:tcBorders>
                    <w:top w:val="nil"/>
                    <w:left w:val="nil"/>
                    <w:bottom w:val="single" w:color="000000" w:sz="4" w:space="0"/>
                    <w:right w:val="single" w:color="000000" w:sz="4" w:space="0"/>
                  </w:tcBorders>
                </w:tcPr>
                <w:p/>
              </w:tc>
              <w:tc>
                <w:tcPr>
                  <w:tcW w:w="8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固定资产管理系统（移动设备管理系统）</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移动设备管理系统</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要求提供盘点管理、维修管理、档案管理、质量管理、变动管理等功能。</w:t>
                  </w:r>
                  <w:r>
                    <w:br w:type="textWrapping"/>
                  </w:r>
                  <w:r>
                    <w:rPr>
                      <w:color w:val="000000"/>
                      <w:sz w:val="22"/>
                    </w:rPr>
                    <w:t>盘点设置管理：本界面功能要求包括：连接服务器设置、用户验证、权限验证以及设置/切换当前盘点单。</w:t>
                  </w:r>
                  <w:r>
                    <w:br w:type="textWrapping"/>
                  </w:r>
                  <w:r>
                    <w:rPr>
                      <w:color w:val="000000"/>
                      <w:sz w:val="22"/>
                    </w:rPr>
                    <w:t>数据下载、上传：要求支持通过网络下载盘点单信息、科室信息、盘点设备信息、附件信息，支持离线盘点。将盘点结果上传至服务器。支持盘点结果的多次上传。</w:t>
                  </w:r>
                  <w:r>
                    <w:br w:type="textWrapping"/>
                  </w:r>
                  <w:r>
                    <w:rPr>
                      <w:color w:val="000000"/>
                      <w:sz w:val="22"/>
                    </w:rPr>
                    <w:t>扫码实盘：要求系统支持多盘点单盘点，支持离线盘点。其中通过微信小程序中的盘点功能仅支持在线盘点。</w:t>
                  </w:r>
                  <w:r>
                    <w:br w:type="textWrapping"/>
                  </w:r>
                  <w:r>
                    <w:rPr>
                      <w:color w:val="000000"/>
                      <w:sz w:val="22"/>
                    </w:rPr>
                    <w:t>要求支持根据当前盘点单，选择盘点科室。通过调用手机摄像头扫描资产设备上的条码进行盘点。在线盘点可以在扫描完条码后同时在移动端上显示设备信息及附件信息，与设备进行核对确认，保证盘点准确性。</w:t>
                  </w:r>
                  <w:r>
                    <w:br w:type="textWrapping"/>
                  </w:r>
                  <w:r>
                    <w:rPr>
                      <w:color w:val="000000"/>
                      <w:sz w:val="22"/>
                    </w:rPr>
                    <w:t>差异清单：要求支持盘点结束后，系统自动生成盘点单，同已盘点完毕资产之间的差异清单，通过差异清单可以直观反映出本次盘点的盘盈盘亏情况。</w:t>
                  </w:r>
                  <w:r>
                    <w:br w:type="textWrapping"/>
                  </w:r>
                  <w:r>
                    <w:rPr>
                      <w:color w:val="000000"/>
                      <w:sz w:val="22"/>
                    </w:rPr>
                    <w:t>维修管理业务具体要求说明如下：</w:t>
                  </w:r>
                  <w:r>
                    <w:br w:type="textWrapping"/>
                  </w:r>
                  <w:r>
                    <w:rPr>
                      <w:color w:val="000000"/>
                      <w:sz w:val="22"/>
                    </w:rPr>
                    <w:t>身份验证绑定：要求支持通过微信企业号/公众号，用户和设备管理系统身份双重验证，微信账号绑定系统用户，保障信息安全。</w:t>
                  </w:r>
                  <w:r>
                    <w:br w:type="textWrapping"/>
                  </w:r>
                  <w:r>
                    <w:rPr>
                      <w:color w:val="000000"/>
                      <w:sz w:val="22"/>
                    </w:rPr>
                    <w:t>操作日志：要求支持用户访问的所有业务操作，通过操作日志进行记录，保障数据访问可追溯。</w:t>
                  </w:r>
                  <w:r>
                    <w:br w:type="textWrapping"/>
                  </w:r>
                  <w:r>
                    <w:rPr>
                      <w:color w:val="000000"/>
                      <w:sz w:val="22"/>
                    </w:rPr>
                    <w:t>科室报修：要求支持通过手机摄像头扫描需报修设备的条码，自动获取设备信息，选择故障现象，即可完成报修。报修的同时可以采集设备图片信息。</w:t>
                  </w:r>
                  <w:r>
                    <w:br w:type="textWrapping"/>
                  </w:r>
                  <w:r>
                    <w:rPr>
                      <w:color w:val="000000"/>
                      <w:sz w:val="22"/>
                    </w:rPr>
                    <w:t>维修消息派送：要求支持根据维修工程师的管理范围，自动分配维修任务。同时通过微信消息功能将派单消息推送给维修工程师。</w:t>
                  </w:r>
                  <w:r>
                    <w:br w:type="textWrapping"/>
                  </w:r>
                  <w:r>
                    <w:rPr>
                      <w:color w:val="000000"/>
                      <w:sz w:val="22"/>
                    </w:rPr>
                    <w:t>受理维修：要求支持维修工程师根据派单情况进行维修，维修过程中产生的费用、购买材料等可以通过系统填报及时反馈到相关业务科室进行查阅和审批。</w:t>
                  </w:r>
                  <w:r>
                    <w:br w:type="textWrapping"/>
                  </w:r>
                  <w:r>
                    <w:rPr>
                      <w:color w:val="000000"/>
                      <w:sz w:val="22"/>
                    </w:rPr>
                    <w:t>完成评价：要求支持维修完成后，维修信息形成维修报告，相关人员可以对本次维修的维修质量、相应速度、服务态度等指标进行评价。</w:t>
                  </w:r>
                  <w:r>
                    <w:br w:type="textWrapping"/>
                  </w:r>
                  <w:r>
                    <w:rPr>
                      <w:color w:val="000000"/>
                      <w:sz w:val="22"/>
                    </w:rPr>
                    <w:t>电子档案业务具体要求说明如下：</w:t>
                  </w:r>
                  <w:r>
                    <w:br w:type="textWrapping"/>
                  </w:r>
                  <w:r>
                    <w:rPr>
                      <w:color w:val="000000"/>
                      <w:sz w:val="22"/>
                    </w:rPr>
                    <w:t>扫码查看资产信息：要求支持管理人员或临床科室通过手机扫描设备二维码，实时查阅设备信息。</w:t>
                  </w:r>
                  <w:r>
                    <w:br w:type="textWrapping"/>
                  </w:r>
                  <w:r>
                    <w:rPr>
                      <w:color w:val="000000"/>
                      <w:sz w:val="22"/>
                    </w:rPr>
                    <w:t>手工查找查看资产信息：要求支持对于不在现场或二维码不清楚等场景，可以手工输入编号，查阅设备信息。</w:t>
                  </w:r>
                  <w:r>
                    <w:br w:type="textWrapping"/>
                  </w:r>
                  <w:r>
                    <w:rPr>
                      <w:color w:val="000000"/>
                      <w:sz w:val="22"/>
                    </w:rPr>
                    <w:t>台账查询：要求支持职能科室可以登录访问本科室资产台账，随时了解本科室资产情况。管理部门可查找各类设备数量分布情况等。</w:t>
                  </w:r>
                  <w:r>
                    <w:br w:type="textWrapping"/>
                  </w:r>
                  <w:r>
                    <w:rPr>
                      <w:color w:val="000000"/>
                      <w:sz w:val="22"/>
                    </w:rPr>
                    <w:t>生命周期查看：要求支持查询单台设备从采购到报废全生命周期情况，及时掌握资产的各种业务变化，维修维护情况等。</w:t>
                  </w:r>
                  <w:r>
                    <w:br w:type="textWrapping"/>
                  </w:r>
                  <w:r>
                    <w:rPr>
                      <w:color w:val="000000"/>
                      <w:sz w:val="22"/>
                    </w:rPr>
                    <w:t>资料图片管理：要求支持临床科室可以查看设备使用手册，设备使用规范等资料信息，管理部门可以查看设备合同资料，或者发布设备维护保养规范等信息来促使科室正确使用仪器设备。</w:t>
                  </w:r>
                  <w:r>
                    <w:br w:type="textWrapping"/>
                  </w:r>
                  <w:r>
                    <w:rPr>
                      <w:color w:val="000000"/>
                      <w:sz w:val="22"/>
                    </w:rPr>
                    <w:t>附件查询：要求支持随时查看相关设备是否关联附件，附件是否齐全，如有丢失可以及时发现。</w:t>
                  </w:r>
                  <w:r>
                    <w:br w:type="textWrapping"/>
                  </w:r>
                  <w:r>
                    <w:rPr>
                      <w:color w:val="000000"/>
                      <w:sz w:val="22"/>
                    </w:rPr>
                    <w:t>变动管理业务具体要求说明如下：</w:t>
                  </w:r>
                  <w:r>
                    <w:br w:type="textWrapping"/>
                  </w:r>
                  <w:r>
                    <w:rPr>
                      <w:color w:val="000000"/>
                      <w:sz w:val="22"/>
                    </w:rPr>
                    <w:t>调科申请：要求支持科室申请设备调科，支持扫码和手工录入编号申请两种模式。</w:t>
                  </w:r>
                  <w:r>
                    <w:br w:type="textWrapping"/>
                  </w:r>
                  <w:r>
                    <w:rPr>
                      <w:color w:val="000000"/>
                      <w:sz w:val="22"/>
                    </w:rPr>
                    <w:t>调科待办列表：要求支持相关人员在待办列表中，可以查看待办调科申请信息，并进行审批操作。</w:t>
                  </w:r>
                  <w:r>
                    <w:br w:type="textWrapping"/>
                  </w:r>
                  <w:r>
                    <w:rPr>
                      <w:color w:val="000000"/>
                      <w:sz w:val="22"/>
                    </w:rPr>
                    <w:t>报废申请：要求支持科室申请报废，支持扫码和手工录入编号两种模式、支持推送申请通知信息。</w:t>
                  </w:r>
                  <w:r>
                    <w:br w:type="textWrapping"/>
                  </w:r>
                  <w:r>
                    <w:rPr>
                      <w:color w:val="000000"/>
                      <w:sz w:val="22"/>
                    </w:rPr>
                    <w:t>技术鉴定：要求支持工程师收到提醒后，去现场对设备进行技术鉴定，填写鉴定意见。如不同意报废，可以进行退回。</w:t>
                  </w:r>
                  <w:r>
                    <w:br w:type="textWrapping"/>
                  </w:r>
                  <w:r>
                    <w:rPr>
                      <w:color w:val="000000"/>
                      <w:sz w:val="22"/>
                    </w:rPr>
                    <w:t>报废审批：要求支持相关责任人通过待办列表查看待处理业务单，进行单据审核。</w:t>
                  </w:r>
                  <w:r>
                    <w:br w:type="textWrapping"/>
                  </w:r>
                  <w:r>
                    <w:rPr>
                      <w:color w:val="000000"/>
                      <w:sz w:val="22"/>
                    </w:rPr>
                    <w:t>报废进度跟踪：要求支持相关操作人可以在报废列表中查看历史单据，或查看未完成业务单进度信息。</w:t>
                  </w:r>
                  <w:r>
                    <w:br w:type="textWrapping"/>
                  </w:r>
                  <w:r>
                    <w:rPr>
                      <w:color w:val="000000"/>
                      <w:sz w:val="22"/>
                    </w:rPr>
                    <w:t>质量管理业务具体要求如下：</w:t>
                  </w:r>
                  <w:r>
                    <w:br w:type="textWrapping"/>
                  </w:r>
                  <w:r>
                    <w:rPr>
                      <w:color w:val="000000"/>
                      <w:sz w:val="22"/>
                    </w:rPr>
                    <w:t>保养记录：要求支持扫码快捷调出设备信息及保养计划信息，方便快捷记录保养信息。提供保养检查内容：根据PM模板项目，逐项进行保养检查，避免遗漏，为设备安全运行提供帮助。</w:t>
                  </w:r>
                  <w:r>
                    <w:br w:type="textWrapping"/>
                  </w:r>
                  <w:r>
                    <w:rPr>
                      <w:color w:val="000000"/>
                      <w:sz w:val="22"/>
                    </w:rPr>
                    <w:t>检查记录：要求支持扫码快捷调出设备信息及检查计划信息，方便快捷记录检查信息。</w:t>
                  </w:r>
                  <w:r>
                    <w:br w:type="textWrapping"/>
                  </w:r>
                  <w:r>
                    <w:rPr>
                      <w:color w:val="000000"/>
                      <w:sz w:val="22"/>
                    </w:rPr>
                    <w:t>使用信息：要求包含用以记录设备开关机时间，设备运行状态相关信息。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630</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综合查询系统</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抗菌药物统计查询分析</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抗菌药物统计查询分析是对医院的抗菌药物使用情况，如人次、消耗量等做重点分析，围绕全院、科室、医生等维度进行展开分析，从而更加清晰的了解医院抗菌药物的使用情况。</w:t>
                  </w:r>
                  <w:r>
                    <w:br w:type="textWrapping"/>
                  </w:r>
                  <w:r>
                    <w:rPr>
                      <w:color w:val="000000"/>
                      <w:sz w:val="22"/>
                    </w:rPr>
                    <w:t>主要功能包括抗菌用药分析、门诊用药分析、急诊用药分析、出院用药分析、指标综合分析、综合调查分析、药品消耗分析、转科用药分析以及细菌耐药分析等。</w:t>
                  </w:r>
                  <w:r>
                    <w:br w:type="textWrapping"/>
                  </w:r>
                  <w:r>
                    <w:rPr>
                      <w:color w:val="000000"/>
                      <w:sz w:val="22"/>
                    </w:rPr>
                    <w:t>抗菌用药分析是对医院经常用的指标进行的压缩整合，其目的是做到关键性指标一目了然。分为四个部分：门诊、急诊、出院、出院患者，并且通过具体的数字可以链接到科室以及医生的明细；</w:t>
                  </w:r>
                  <w:r>
                    <w:br w:type="textWrapping"/>
                  </w:r>
                  <w:r>
                    <w:rPr>
                      <w:color w:val="000000"/>
                      <w:sz w:val="22"/>
                    </w:rPr>
                    <w:t>门诊用药分析是对门诊患者进行抗菌人次、使用率、费用等指标按照门诊科室以及医生的维度展开的统计分析；</w:t>
                  </w:r>
                  <w:r>
                    <w:br w:type="textWrapping"/>
                  </w:r>
                  <w:r>
                    <w:rPr>
                      <w:color w:val="000000"/>
                      <w:sz w:val="22"/>
                    </w:rPr>
                    <w:t>急诊用药分析是对急诊患者进行抗菌人次、使用率、费用等指标按照急诊科室以及医生的维度展开的统计分析；</w:t>
                  </w:r>
                  <w:r>
                    <w:br w:type="textWrapping"/>
                  </w:r>
                  <w:r>
                    <w:rPr>
                      <w:color w:val="000000"/>
                      <w:sz w:val="22"/>
                    </w:rPr>
                    <w:t>出院用药分析是对出院患者进行抗菌人次、使用率、使用强度、送检等指标按照出院科室及医生的维度展开的统计分析；</w:t>
                  </w:r>
                  <w:r>
                    <w:br w:type="textWrapping"/>
                  </w:r>
                  <w:r>
                    <w:rPr>
                      <w:color w:val="000000"/>
                      <w:sz w:val="22"/>
                    </w:rPr>
                    <w:t>指标综合分析是对全院的人次、费用等指标按照月份按照就诊类型维度展开的统计分析；</w:t>
                  </w:r>
                  <w:r>
                    <w:br w:type="textWrapping"/>
                  </w:r>
                  <w:r>
                    <w:rPr>
                      <w:color w:val="000000"/>
                      <w:sz w:val="22"/>
                    </w:rPr>
                    <w:t>综合调查分析分为院级、科室、明细3张报表来进行调查分析，院级调查表是对全院整体的数据进行监控，科室调查表是将所有院级指标的数据按照病人的出院科室来统计出来，而指标明细表是院级和科室的延伸，通过超链接来实现指标明细化，可以统计到具体的病人身上；</w:t>
                  </w:r>
                  <w:r>
                    <w:br w:type="textWrapping"/>
                  </w:r>
                  <w:r>
                    <w:rPr>
                      <w:color w:val="000000"/>
                      <w:sz w:val="22"/>
                    </w:rPr>
                    <w:t>药品消耗分析是按照药品维度、药理分类维度以及住院科室、医生、门诊科室、医生、急诊科室、医生等维度统计抗菌药物的消耗量；</w:t>
                  </w:r>
                  <w:r>
                    <w:br w:type="textWrapping"/>
                  </w:r>
                  <w:r>
                    <w:rPr>
                      <w:color w:val="000000"/>
                      <w:sz w:val="22"/>
                    </w:rPr>
                    <w:t>转科用药分析统计出院病人在转科期间科室的住院床日、各项收入药占比和抗菌药物金额DDD数。其中的科室为病人科室维度；</w:t>
                  </w:r>
                  <w:r>
                    <w:br w:type="textWrapping"/>
                  </w:r>
                  <w:r>
                    <w:rPr>
                      <w:color w:val="000000"/>
                      <w:sz w:val="22"/>
                    </w:rPr>
                    <w:t>细菌耐药分析是统计各细菌的耐药程度及科室患者药敏明细；</w:t>
                  </w:r>
                  <w:r>
                    <w:br w:type="textWrapping"/>
                  </w:r>
                  <w:r>
                    <w:rPr>
                      <w:color w:val="000000"/>
                      <w:sz w:val="22"/>
                    </w:rPr>
                    <w:t>通过抗菌药物统计查询分析，院方可以通过以上报表更加清楚、直观的了解医院的抗菌药物使用情况，从而对抗菌药物管理进行更好的控制，提高医院对抗菌药物的使用效率。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631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统计室报表系统</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统计室报表系统主要是为了满足统计室各种工作需要使用的报表。</w:t>
                  </w:r>
                  <w:r>
                    <w:br w:type="textWrapping"/>
                  </w:r>
                  <w:r>
                    <w:rPr>
                      <w:color w:val="000000"/>
                      <w:sz w:val="22"/>
                    </w:rPr>
                    <w:t>主要功能包括六薄报表，出入转统计报表，挂号统计分析，医技项目的工作量报表，特殊项目的人次数量统计等。</w:t>
                  </w:r>
                  <w:r>
                    <w:br w:type="textWrapping"/>
                  </w:r>
                  <w:r>
                    <w:rPr>
                      <w:color w:val="000000"/>
                      <w:sz w:val="22"/>
                    </w:rPr>
                    <w:t>六薄报表是常见的医院上报患者数据的报表，包括出院传染病人登记簿，出院感染病人登记簿，出院手术病人登记簿，出院抢救病人登记簿，出院死亡病人登记簿和出院病人登记簿。</w:t>
                  </w:r>
                  <w:r>
                    <w:br w:type="textWrapping"/>
                  </w:r>
                  <w:r>
                    <w:rPr>
                      <w:color w:val="000000"/>
                      <w:sz w:val="22"/>
                    </w:rPr>
                    <w:t>出入转统计报表反映病房每天的实际运营情况，通过科室组，科室，病区组，病区等不同维度，统计住院科室的每天入、出、转患者情况、床位使用情况和其他重点监控指标，反映住院科室的运营情况。</w:t>
                  </w:r>
                  <w:r>
                    <w:br w:type="textWrapping"/>
                  </w:r>
                  <w:r>
                    <w:rPr>
                      <w:color w:val="000000"/>
                      <w:sz w:val="22"/>
                    </w:rPr>
                    <w:t>挂号统计是门急诊挂号工作量的统计，主要是对科室、医生、出诊情况、挂号时段、节假日等多维度的挂号分析和同环比的趋势分析，反映门急诊每天的运营情况。</w:t>
                  </w:r>
                  <w:r>
                    <w:br w:type="textWrapping"/>
                  </w:r>
                  <w:r>
                    <w:rPr>
                      <w:color w:val="000000"/>
                      <w:sz w:val="22"/>
                    </w:rPr>
                    <w:t>医技项目统计是对特殊的医技工作量做统计分析，通过可配置的医技项目，实现对科室医生的医技工作量的统计分析。</w:t>
                  </w:r>
                  <w:r>
                    <w:br w:type="textWrapping"/>
                  </w:r>
                  <w:r>
                    <w:rPr>
                      <w:color w:val="000000"/>
                      <w:sz w:val="22"/>
                    </w:rPr>
                    <w:t>特殊项目的统计是对于某些重点关注的项目做统计，主要是对特殊项目的人员做统计分析，特殊项目的数量金额做统计分析等。</w:t>
                  </w:r>
                  <w:r>
                    <w:br w:type="textWrapping"/>
                  </w:r>
                  <w:r>
                    <w:rPr>
                      <w:color w:val="000000"/>
                      <w:sz w:val="22"/>
                    </w:rPr>
                    <w:t>通过统计报表系统灵活自主的报表配置方式和基于预计算的数据存储模式，可以快速完成统计相关的分析需求。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632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院长查询系统</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依托“医院信息管理系统”网络系统环境和丰富信息资源，结合医院管理特点，为院长建立一个统一的信息平台，以提高管理者的管理效能。可使管理从宏观上掌握医院医疗、经济的整体发展情况、从微观上掌握每个医师医疗工作数质量和经济效益情况。科室管理、科研教学方面的功能设计，所涵盖的内容能够满足全院的管理需求。</w:t>
                  </w:r>
                  <w:r>
                    <w:br w:type="textWrapping"/>
                  </w:r>
                  <w:r>
                    <w:rPr>
                      <w:color w:val="000000"/>
                      <w:sz w:val="22"/>
                    </w:rPr>
                    <w:t>功能包括：历史数据查询首页、实时数据查询首页、全院工作动态分析、全院人次分析、全院收入分析。</w:t>
                  </w:r>
                  <w:r>
                    <w:br w:type="textWrapping"/>
                  </w:r>
                  <w:r>
                    <w:rPr>
                      <w:color w:val="000000"/>
                      <w:sz w:val="22"/>
                    </w:rPr>
                    <w:t>(1)历史数据查询首页</w:t>
                  </w:r>
                  <w:r>
                    <w:br w:type="textWrapping"/>
                  </w:r>
                  <w:r>
                    <w:rPr>
                      <w:color w:val="000000"/>
                      <w:sz w:val="22"/>
                    </w:rPr>
                    <w:t>选择分院，不选择医院查询无数据，查询日期分为昨天、上周、上月、上季和自由日期。昨天、上周、上月、上季、去年是相对于当前时刻而言。选择自由日期时，可以选择具体的开始日期和结束日期。</w:t>
                  </w:r>
                  <w:r>
                    <w:br w:type="textWrapping"/>
                  </w:r>
                  <w:r>
                    <w:rPr>
                      <w:color w:val="000000"/>
                      <w:sz w:val="22"/>
                    </w:rPr>
                    <w:t>(2)实时数据查询首页</w:t>
                  </w:r>
                  <w:r>
                    <w:br w:type="textWrapping"/>
                  </w:r>
                  <w:r>
                    <w:rPr>
                      <w:color w:val="000000"/>
                      <w:sz w:val="22"/>
                    </w:rPr>
                    <w:t>选择分院，不选择医院查询无数据，查询医院当前的运营情况，数据实时查询得出，默认日期为查询的当天。</w:t>
                  </w:r>
                  <w:r>
                    <w:br w:type="textWrapping"/>
                  </w:r>
                  <w:r>
                    <w:rPr>
                      <w:color w:val="000000"/>
                      <w:sz w:val="22"/>
                    </w:rPr>
                    <w:t>(3)全院工作动态分析</w:t>
                  </w:r>
                  <w:r>
                    <w:br w:type="textWrapping"/>
                  </w:r>
                  <w:r>
                    <w:rPr>
                      <w:color w:val="000000"/>
                      <w:sz w:val="22"/>
                    </w:rPr>
                    <w:t>选择分院，不选择医院查询无数据，查询医院前一周每天的运营情况，对比看每天的挂号人次、入院人次、出院人次、门诊住院总费用、医疗费、药品费及人均费用、人均药品费。</w:t>
                  </w:r>
                  <w:r>
                    <w:br w:type="textWrapping"/>
                  </w:r>
                  <w:r>
                    <w:rPr>
                      <w:color w:val="000000"/>
                      <w:sz w:val="22"/>
                    </w:rPr>
                    <w:t>(4)全院人次分析</w:t>
                  </w:r>
                  <w:r>
                    <w:br w:type="textWrapping"/>
                  </w:r>
                  <w:r>
                    <w:rPr>
                      <w:color w:val="000000"/>
                      <w:sz w:val="22"/>
                    </w:rPr>
                    <w:t>选择分院，不选择医院查询无数据，按日、月、季、年查医院当期、上期、同期的挂号人次、入院人次、出院人次及变化值、同比、环比。</w:t>
                  </w:r>
                  <w:r>
                    <w:br w:type="textWrapping"/>
                  </w:r>
                  <w:r>
                    <w:rPr>
                      <w:color w:val="000000"/>
                      <w:sz w:val="22"/>
                    </w:rPr>
                    <w:t>(5)全院收入分析</w:t>
                  </w:r>
                  <w:r>
                    <w:br w:type="textWrapping"/>
                  </w:r>
                  <w:r>
                    <w:rPr>
                      <w:color w:val="000000"/>
                      <w:sz w:val="22"/>
                    </w:rPr>
                    <w:t>选择分院，不选择医院查询无数据，按日、月、季、年查医院当期、上期、同期的费用及变化值、同比、环比。</w:t>
                  </w:r>
                  <w:r>
                    <w:br w:type="textWrapping"/>
                  </w:r>
                  <w:r>
                    <w:rPr>
                      <w:color w:val="000000"/>
                      <w:sz w:val="22"/>
                    </w:rPr>
                    <w:t>院长查询为院领导提供各科室宏观和微观数据，从而为医院的决策提供重要依据。依托“HIS”网络系统环境和丰富信息资源，能使管理者从宏观上掌握科室医疗、经济的整体发展情况，从微观上掌握每个医师医疗工作数量、质量和经济效益情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633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阳光用药系统</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阳光用药系统是对医院的药品消耗情况，抗菌药品的DDD值，医院的药占比等做重点监控分析，通过多维度多角度，全方位的定位分析，掌握医院的药品使用情况。</w:t>
                  </w:r>
                  <w:r>
                    <w:br w:type="textWrapping"/>
                  </w:r>
                  <w:r>
                    <w:rPr>
                      <w:color w:val="000000"/>
                      <w:sz w:val="22"/>
                    </w:rPr>
                    <w:t>主要功能包括门诊用药监控、出院用药监控、基本药物监控、单品药物监控、抗菌药物监控、急诊抗菌药物监控、全院用药监控等。</w:t>
                  </w:r>
                  <w:r>
                    <w:br w:type="textWrapping"/>
                  </w:r>
                  <w:r>
                    <w:rPr>
                      <w:color w:val="000000"/>
                      <w:sz w:val="22"/>
                    </w:rPr>
                    <w:t>门诊用药监控：对门诊患者的药品使用情况，按院级、科室、医生、处方、单品种多维度进行分析，重点监控各维度就诊工作量指标、处方用药指标、抗菌处方用药指标、注射药品情况、药品比例、处方均次指标等等，能够对超比例的指标进行监控预警，自由下钻分析医院各种指标情况。</w:t>
                  </w:r>
                  <w:r>
                    <w:br w:type="textWrapping"/>
                  </w:r>
                  <w:r>
                    <w:rPr>
                      <w:color w:val="000000"/>
                      <w:sz w:val="22"/>
                    </w:rPr>
                    <w:t>出院用药监控：是对住院出院的患者药品使用情况，按院级，科室，医生进行分析，重点监控各维度出院人次、住院床日、抗菌药物人次、抗菌药物收入、基本药物收入等等，能够自由下钻分析，指标预警监控功能。</w:t>
                  </w:r>
                  <w:r>
                    <w:br w:type="textWrapping"/>
                  </w:r>
                  <w:r>
                    <w:rPr>
                      <w:color w:val="000000"/>
                      <w:sz w:val="22"/>
                    </w:rPr>
                    <w:t>基本药物监控：是对使用基本药物的门诊住院患者进行统计分析，按院级、就诊类型、科室、医生多维度进行分析，重点监控使用基本药物的人次，基本药物的收入，处方情况等。</w:t>
                  </w:r>
                  <w:r>
                    <w:br w:type="textWrapping"/>
                  </w:r>
                  <w:r>
                    <w:rPr>
                      <w:color w:val="000000"/>
                      <w:sz w:val="22"/>
                    </w:rPr>
                    <w:t>单品种药物监控：是对某种药品做重点监控分析，分析药品的科室、医生的使用排名，单药品的加成分析等等。</w:t>
                  </w:r>
                  <w:r>
                    <w:br w:type="textWrapping"/>
                  </w:r>
                  <w:r>
                    <w:rPr>
                      <w:color w:val="000000"/>
                      <w:sz w:val="22"/>
                    </w:rPr>
                    <w:t>抗菌药物监控：是对使用抗菌药物的患者进行统计分析，分门诊患者、出院患者、转科患者、在院患者不同类型不同口径进行统计分析，重点监控抗菌药物的使用人次，抗菌药物处方指标，注射抗菌药物、输液抗菌药物、抗菌处方比例等等，能够实现院级、科室、医生、患者多维度的自由下钻分析，预警监控功能。</w:t>
                  </w:r>
                  <w:r>
                    <w:br w:type="textWrapping"/>
                  </w:r>
                  <w:r>
                    <w:rPr>
                      <w:color w:val="000000"/>
                      <w:sz w:val="22"/>
                    </w:rPr>
                    <w:t>急诊抗菌药物监控：是对急诊患者使用抗菌药物的统计，按院级、科室、医生对急诊患者使用抗菌药物进行多维度分析，重点监控急诊就诊人数、急诊处方数、急诊处方金额、急诊使用抗菌药物处方数、急诊抗菌药物处方金额、急诊抗菌药物注射剂使用处方数及金额、急诊抗菌药物处方金额比例、急诊抗菌药物使用率等等，能够多维度自由下钻分析和预警监控指标。</w:t>
                  </w:r>
                  <w:r>
                    <w:br w:type="textWrapping"/>
                  </w:r>
                  <w:r>
                    <w:rPr>
                      <w:color w:val="000000"/>
                      <w:sz w:val="22"/>
                    </w:rPr>
                    <w:t>全院用药监控：是对全院用药的监控分析，按日期趋势分析、同环比分析，对全院重点指标的监控分析。</w:t>
                  </w:r>
                  <w:r>
                    <w:br w:type="textWrapping"/>
                  </w:r>
                  <w:r>
                    <w:rPr>
                      <w:color w:val="000000"/>
                      <w:sz w:val="22"/>
                    </w:rPr>
                    <w:t>通过阳光用药系统，可以实现对全院、科室、医生等用药情况分析，及时调整医院的药品使用情况，自由分析，预警监控，提高医院药品使用效率。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634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指标系统</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指标系统是参照多维数据模型提供数据访问效率的原理，指标数据的结果通过预计算模式，任务自动执行，提前存储到数据库中，为后续的数据提供服务，提高数据的使用效率。</w:t>
                  </w:r>
                  <w:r>
                    <w:br w:type="textWrapping"/>
                  </w:r>
                  <w:r>
                    <w:rPr>
                      <w:color w:val="000000"/>
                      <w:sz w:val="22"/>
                    </w:rPr>
                    <w:t>主要功能包括：指标定义、维度定义、指标类型、指标区间类型、指标日志、模块与报表、指标系统配置等。</w:t>
                  </w:r>
                  <w:r>
                    <w:br w:type="textWrapping"/>
                  </w:r>
                  <w:r>
                    <w:rPr>
                      <w:color w:val="000000"/>
                      <w:sz w:val="22"/>
                    </w:rPr>
                    <w:t>指标定义：是将需要预计算的指标提前定义维护，维护指标的取数逻辑，指标的执行区间，相应的指标维度信息等，供任务每天凌晨自动执行将结果存储到数据库中。</w:t>
                  </w:r>
                  <w:r>
                    <w:br w:type="textWrapping"/>
                  </w:r>
                  <w:r>
                    <w:rPr>
                      <w:color w:val="000000"/>
                      <w:sz w:val="22"/>
                    </w:rPr>
                    <w:t>维度定义：提供公共的维度维护界面，将指标使用到的维度进行统一管理，维度属性的统一管理，实现不同指标的维度复用的程度和维度的标准化操作。</w:t>
                  </w:r>
                  <w:r>
                    <w:br w:type="textWrapping"/>
                  </w:r>
                  <w:r>
                    <w:rPr>
                      <w:color w:val="000000"/>
                      <w:sz w:val="22"/>
                    </w:rPr>
                    <w:t>指标类型：将医院的不同指标进行分类，方便指标的管理，区分不同类型的指标和对指标进行数据的操作。</w:t>
                  </w:r>
                  <w:r>
                    <w:br w:type="textWrapping"/>
                  </w:r>
                  <w:r>
                    <w:rPr>
                      <w:color w:val="000000"/>
                      <w:sz w:val="22"/>
                    </w:rPr>
                    <w:t>指标日志：是对指标系统的日志记录，支持指标定义日志，指标处理日志，指标查询日志，指标错误日志等，监控管理指标任务的数据和指标数据使用的曰志，实现数据从定义到生成到使用的全方位监控管理。</w:t>
                  </w:r>
                  <w:r>
                    <w:br w:type="textWrapping"/>
                  </w:r>
                  <w:r>
                    <w:rPr>
                      <w:color w:val="000000"/>
                      <w:sz w:val="22"/>
                    </w:rPr>
                    <w:t>指标模块与报表：管理主要是提供统一的对外服务模块，将不同的指标提供模块化的术语集，用户通过模块化的指标管理，将零散的单个指标集中管理，集中对外服务，提高对外输出的服务能力。</w:t>
                  </w:r>
                  <w:r>
                    <w:br w:type="textWrapping"/>
                  </w:r>
                  <w:r>
                    <w:rPr>
                      <w:color w:val="000000"/>
                      <w:sz w:val="22"/>
                    </w:rPr>
                    <w:t>指标系统配置：主要提供指标系统相关的配置功能，包括指标过滤函数的配置功能，执行代码的配置，日志全局配置，任务全局配置等等。</w:t>
                  </w:r>
                  <w:r>
                    <w:br w:type="textWrapping"/>
                  </w:r>
                  <w:r>
                    <w:rPr>
                      <w:color w:val="000000"/>
                      <w:sz w:val="22"/>
                    </w:rPr>
                    <w:t>通过指标系统，可以提高对数据的访问效率，保证数据的稳定性，相关指标数据的使用，降低数据不一致的可能性，提高用户对数据的信任度。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635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基础数据查询</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基础数据查询可以根据用户的配置，统计综合查询基础数据表的明细或汇总数据。在基础数据查询中，每一个基础表被定义为一个查询对象，每一个字段被定义为查询项。用户可根据自己的需要，自行选择查询对象，自行配置查询项及过滤条件，以此获得满足自己要求的统计数据。</w:t>
                  </w:r>
                  <w:r>
                    <w:br w:type="textWrapping"/>
                  </w:r>
                  <w:r>
                    <w:rPr>
                      <w:color w:val="000000"/>
                      <w:sz w:val="22"/>
                    </w:rPr>
                    <w:t>主要的功能包括定义查询对象、维护对象属性、配置查询条件、展示查询数据、配置用户权限等。</w:t>
                  </w:r>
                  <w:r>
                    <w:br w:type="textWrapping"/>
                  </w:r>
                  <w:r>
                    <w:rPr>
                      <w:color w:val="000000"/>
                      <w:sz w:val="22"/>
                    </w:rPr>
                    <w:t>定义查询对象：是将基础表的字段关联各种属性，用于为查询数据服务统计查询套件。字段关联的属性包括：描述、统计项类型(度量，维度)、关联维度类型(对象维度、标准维度)、关联维度编码等。</w:t>
                  </w:r>
                  <w:r>
                    <w:br w:type="textWrapping"/>
                  </w:r>
                  <w:r>
                    <w:rPr>
                      <w:color w:val="000000"/>
                      <w:sz w:val="22"/>
                    </w:rPr>
                    <w:t>维护对象属性：有些数据并不属于基础表的字段，但能归属于基础表字段所涉及的“主题”。这些数据可以通过基础表的ID获得。可以把这些数据定义为对象属性。</w:t>
                  </w:r>
                  <w:r>
                    <w:br w:type="textWrapping"/>
                  </w:r>
                  <w:r>
                    <w:rPr>
                      <w:color w:val="000000"/>
                      <w:sz w:val="22"/>
                    </w:rPr>
                    <w:t>配置查询条件：类似配置报表的过程，根据选择的网格分组表格或交叉表格，选择具体的查询对象，选择对象的维度和度量，对象的过滤条件和日期口径，数据的展示方式，查询数据和保存报表。</w:t>
                  </w:r>
                  <w:r>
                    <w:br w:type="textWrapping"/>
                  </w:r>
                  <w:r>
                    <w:rPr>
                      <w:color w:val="000000"/>
                      <w:sz w:val="22"/>
                    </w:rPr>
                    <w:t>展示查询数据：可以根据配置好的报表，通过用户权限的过滤，查询报表数据。</w:t>
                  </w:r>
                  <w:r>
                    <w:br w:type="textWrapping"/>
                  </w:r>
                  <w:r>
                    <w:rPr>
                      <w:color w:val="000000"/>
                      <w:sz w:val="22"/>
                    </w:rPr>
                    <w:t>配置用户权限：主要是配置报表编辑权限和配置报表执行权限等。</w:t>
                  </w:r>
                  <w:r>
                    <w:br w:type="textWrapping"/>
                  </w:r>
                  <w:r>
                    <w:rPr>
                      <w:color w:val="000000"/>
                      <w:sz w:val="22"/>
                    </w:rPr>
                    <w:t>通过基础数据查询，用户可以自由配置查询需要，自行配置查询条件和查询事件，提高对数据的查询使用和高度自由方便。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636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统计查询套件</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统计查询套件主要是为了满足各种统计需要使用到的配置功能，通过界面化的操作配置，灵活自由的实现统计数据的目的。</w:t>
                  </w:r>
                  <w:r>
                    <w:br w:type="textWrapping"/>
                  </w:r>
                  <w:r>
                    <w:rPr>
                      <w:color w:val="000000"/>
                      <w:sz w:val="22"/>
                    </w:rPr>
                    <w:t>主要包括统计组的维护、编制床位维护、ICD编码分类维护、节假日维护等。</w:t>
                  </w:r>
                  <w:r>
                    <w:br w:type="textWrapping"/>
                  </w:r>
                  <w:r>
                    <w:rPr>
                      <w:color w:val="000000"/>
                      <w:sz w:val="22"/>
                    </w:rPr>
                    <w:t>统计组的维护主要是统计大组和统计子组的维护，支持多种码表数据的统计归组维护和顺序维护。</w:t>
                  </w:r>
                  <w:r>
                    <w:br w:type="textWrapping"/>
                  </w:r>
                  <w:r>
                    <w:rPr>
                      <w:color w:val="000000"/>
                      <w:sz w:val="22"/>
                    </w:rPr>
                    <w:t>编制床位维护主要是对医院各科室病区的编制床位数，开放床位数做统一维护管理。</w:t>
                  </w:r>
                  <w:r>
                    <w:br w:type="textWrapping"/>
                  </w:r>
                  <w:r>
                    <w:rPr>
                      <w:color w:val="000000"/>
                      <w:sz w:val="22"/>
                    </w:rPr>
                    <w:t>ICD编码分类维护主要是将疾病编码和手术编码进行归类，将满足某种条件的编码进行统一归类。</w:t>
                  </w:r>
                  <w:r>
                    <w:br w:type="textWrapping"/>
                  </w:r>
                  <w:r>
                    <w:rPr>
                      <w:color w:val="000000"/>
                      <w:sz w:val="22"/>
                    </w:rPr>
                    <w:t>节假日维护主要是提供日期的节假、假日的维护。</w:t>
                  </w:r>
                  <w:r>
                    <w:br w:type="textWrapping"/>
                  </w:r>
                  <w:r>
                    <w:rPr>
                      <w:color w:val="000000"/>
                      <w:sz w:val="22"/>
                    </w:rPr>
                    <w:t>通过统计查询套件，方便数据的灵活使用，通过统计查询套件的相关维护调整，可以方便实现统计数据的需求。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637</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核算报表系统</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核算报表系统主要是为了满足核算办对医院各种形式的经济核算工作，支持根据收付实现制、权责发生制、出院日期等多种途径的经济核算方式。</w:t>
                  </w:r>
                  <w:r>
                    <w:br w:type="textWrapping"/>
                  </w:r>
                  <w:r>
                    <w:rPr>
                      <w:color w:val="000000"/>
                      <w:sz w:val="22"/>
                    </w:rPr>
                    <w:t>主要功能包括常见的科室核算报表，医生核算报表，特殊项目的工作量统计，以及明细报表等。科室核算报表：主要是对科室核算收入的统计分析，对科室药占比、材料占比、医疗收入占比的统计分析，对科室开单收入，接收收入的统计分析等。</w:t>
                  </w:r>
                  <w:r>
                    <w:br w:type="textWrapping"/>
                  </w:r>
                  <w:r>
                    <w:rPr>
                      <w:color w:val="000000"/>
                      <w:sz w:val="22"/>
                    </w:rPr>
                    <w:t>医生核算报表：主要是对医生核算收入的统计分析，对医生药占比、材料占比、医疗收入占比的统计分析，对医生开单收入的统计分析等。</w:t>
                  </w:r>
                  <w:r>
                    <w:br w:type="textWrapping"/>
                  </w:r>
                  <w:r>
                    <w:rPr>
                      <w:color w:val="000000"/>
                      <w:sz w:val="22"/>
                    </w:rPr>
                    <w:t>项目统计：主要对特殊的项目数量金额的统计分析。</w:t>
                  </w:r>
                  <w:r>
                    <w:br w:type="textWrapping"/>
                  </w:r>
                  <w:r>
                    <w:rPr>
                      <w:color w:val="000000"/>
                      <w:sz w:val="22"/>
                    </w:rPr>
                    <w:t>明细报表：主要是对有些患者明细，特殊项目的患者明细等统计报表。</w:t>
                  </w:r>
                  <w:r>
                    <w:br w:type="textWrapping"/>
                  </w:r>
                  <w:r>
                    <w:rPr>
                      <w:color w:val="000000"/>
                      <w:sz w:val="22"/>
                    </w:rPr>
                    <w:t>通过核算报表系统灵活自主的报表配置方法，用户权限管理，科室医生统计组的管理，可以快速方便的完成医院各种经济形式的核算统计。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638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财务报表系统</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财务统计系统主要是满足医院财务科对收入数据的统计需求。主要功能包括在院病人费用和结算费用统计。</w:t>
                  </w:r>
                  <w:r>
                    <w:br w:type="textWrapping"/>
                  </w:r>
                  <w:r>
                    <w:rPr>
                      <w:color w:val="000000"/>
                      <w:sz w:val="22"/>
                    </w:rPr>
                    <w:t>在院病人费用：是反映住院未结算患者的费用统计。根据患者未结算费用情况，按日期，科室，费用分类统计未结算费用的情况并对患者费用进行监控校验。</w:t>
                  </w:r>
                  <w:r>
                    <w:br w:type="textWrapping"/>
                  </w:r>
                  <w:r>
                    <w:rPr>
                      <w:color w:val="000000"/>
                      <w:sz w:val="22"/>
                    </w:rPr>
                    <w:t>结算费用统计：主要是门诊住院患者的结算费用，住院患者权责发生制的费用统计等。</w:t>
                  </w:r>
                  <w:r>
                    <w:br w:type="textWrapping"/>
                  </w:r>
                  <w:r>
                    <w:rPr>
                      <w:color w:val="000000"/>
                      <w:sz w:val="22"/>
                    </w:rPr>
                    <w:t>通过财务统计系统的统计分析，医院可以对收付实现制，权责发生制，未结算费用等各种收入做具体的考核分析和财务四列账统计。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639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病案统计系统</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病案统计系统主要是满足医院对病案数据做统计分析，对医疗数据做质量监控统计。</w:t>
                  </w:r>
                  <w:r>
                    <w:br w:type="textWrapping"/>
                  </w:r>
                  <w:r>
                    <w:rPr>
                      <w:color w:val="000000"/>
                      <w:sz w:val="22"/>
                    </w:rPr>
                    <w:t>主要功能包括基于病案数据做的人次分析，如人次排名相关的统计，台账统计，基于疾病相关的病种统计分析，科室情况的统计，手术重返再入院情况统计分析等等。</w:t>
                  </w:r>
                  <w:r>
                    <w:br w:type="textWrapping"/>
                  </w:r>
                  <w:r>
                    <w:rPr>
                      <w:color w:val="000000"/>
                      <w:sz w:val="22"/>
                    </w:rPr>
                    <w:t>人次排名统计：主要是对患者的出院科室，出院医生，出院诊断，出院手术情况的排名统计，包括出院的离院方式，平均住院日，平均费用的统计分析。</w:t>
                  </w:r>
                  <w:r>
                    <w:br w:type="textWrapping"/>
                  </w:r>
                  <w:r>
                    <w:rPr>
                      <w:color w:val="000000"/>
                      <w:sz w:val="22"/>
                    </w:rPr>
                    <w:t>台账统计：是为满足医院统计年鉴工作需要的报表，主要是住院病人的收入统计台账，患者入院病情评估及来源统计台账，手术情况统计台账，出院情况统计台账等。</w:t>
                  </w:r>
                  <w:r>
                    <w:br w:type="textWrapping"/>
                  </w:r>
                  <w:r>
                    <w:rPr>
                      <w:color w:val="000000"/>
                      <w:sz w:val="22"/>
                    </w:rPr>
                    <w:t>病种统计：主要是对出院患者重点监控的诊断按照入院病情评估，入院途径离院方式，手术情况手术转归等多途径进行统计分析。</w:t>
                  </w:r>
                  <w:r>
                    <w:br w:type="textWrapping"/>
                  </w:r>
                  <w:r>
                    <w:rPr>
                      <w:color w:val="000000"/>
                      <w:sz w:val="22"/>
                    </w:rPr>
                    <w:t>科室统计：是为反映出院科室病案质量和患者治疗情况，主要包括科室手术情况，科室临床路径患者指标情况，手术愈合统计情况，诊断质量指标统计，入院病情评估及离院方式等。</w:t>
                  </w:r>
                  <w:r>
                    <w:br w:type="textWrapping"/>
                  </w:r>
                  <w:r>
                    <w:rPr>
                      <w:color w:val="000000"/>
                      <w:sz w:val="22"/>
                    </w:rPr>
                    <w:t>再入院统计：主要是诊断或者手术再次入院间隔天数的统计分析，科室再次入院间隔天数的统计分析。</w:t>
                  </w:r>
                  <w:r>
                    <w:br w:type="textWrapping"/>
                  </w:r>
                  <w:r>
                    <w:rPr>
                      <w:color w:val="000000"/>
                      <w:sz w:val="22"/>
                    </w:rPr>
                    <w:t>通过病案统计系统，医院可以方便的实现院内病案的统计分析和院外的数据上报需求。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640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三级医院绩效考核上报</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三级医院绩效考核上报主要是满足三级公立医院绩效考核数据上报的相关工作，通过任务自动生成绩效考核的院区、科室、医生多维度的数据，提高绩效考核数据上报的工作。</w:t>
                  </w:r>
                  <w:r>
                    <w:br w:type="textWrapping"/>
                  </w:r>
                  <w:r>
                    <w:rPr>
                      <w:color w:val="000000"/>
                      <w:sz w:val="22"/>
                    </w:rPr>
                    <w:t>主要功能包括：由医疗质量、运营效率、持续发展、满意度评价等4个方面的指标构成(共计：55项指标)。</w:t>
                  </w:r>
                  <w:r>
                    <w:br w:type="textWrapping"/>
                  </w:r>
                  <w:r>
                    <w:rPr>
                      <w:color w:val="000000"/>
                      <w:sz w:val="22"/>
                    </w:rPr>
                    <w:t>医疗质量：通过医疗质量控制、合理用药、检查检验同质化等指标，考核医院医疗质量和医疗安全。通过代表性的单病种质量控制指标，考核医院重点病种、关键技术的医疗质量和医疗安全情况。通过预约诊疗、门急诊服务、患者等待时间等指标，考核医院改善医疗服务效果，具体二级指标有功能定位(7个指标)、质量安全(8个指标)、合理用药(6个指标)、服务流程(3个指标)。</w:t>
                  </w:r>
                  <w:r>
                    <w:br w:type="textWrapping"/>
                  </w:r>
                  <w:r>
                    <w:rPr>
                      <w:color w:val="000000"/>
                      <w:sz w:val="22"/>
                    </w:rPr>
                    <w:t>运营效率：运营效率体现医院的精细化管理水平，是实现医院科学管理的关键。通过人力资源配比和人员负荷指标考核医疗资源利用效率。通过经济管理指标考核医院经济运行管理情况。通过考核收支结构指标间接反映政府落实办医责任情况和医院医疗收入结构合理性，推动实现收支平衡、略有结余，有效体现医务人员技术劳务价值的目标。通过考核门诊和住院患者次均费用变化，衡量医院主动控制费用不合理增长情况具体二级指标有资源效率(2个指标)、收支结构(10个指标)、费用控制(5个指标)、经济管理(2个指标)。</w:t>
                  </w:r>
                  <w:r>
                    <w:br w:type="textWrapping"/>
                  </w:r>
                  <w:r>
                    <w:rPr>
                      <w:color w:val="000000"/>
                      <w:sz w:val="22"/>
                    </w:rPr>
                    <w:t>持续发展：人才队伍建设与教学科研能力体现医院的持续发展能力，是反映三级公立医院创新发展和持续健康运行的重要指标。主要通过人才结构指标考核医务人员稳定性，通过科研成果临床转化指标考核医院创新支撑能力，通过技术应用指标考核医院引领发展和持续运行情况，通过公共信用综合评价等级指标考核医院信用建设二级指标有人员结构(3个指标)、人才培养(4个指标)、学科建设(2个指标)。</w:t>
                  </w:r>
                  <w:r>
                    <w:br w:type="textWrapping"/>
                  </w:r>
                  <w:r>
                    <w:rPr>
                      <w:color w:val="000000"/>
                      <w:sz w:val="22"/>
                    </w:rPr>
                    <w:t>满意度评价：医院满意度由患者满意度和医务人员满意度两部分组成。患者满意度是三级公立医院社会效益的重要体现，提高医务人员满意度是医院提供高质量医疗服务的重要保障。通过门诊患者、住院患者和医务人员满意度评价，衡量患者获得感及医务人员积极性二级指标有患者满意度(2个指标)、医务人员满意度(1个指标)。</w:t>
                  </w:r>
                  <w:r>
                    <w:br w:type="textWrapping"/>
                  </w:r>
                  <w:r>
                    <w:rPr>
                      <w:color w:val="000000"/>
                      <w:sz w:val="22"/>
                    </w:rPr>
                    <w:t>通过三级医院绩效考核上报，医院可以快速实现绩效数据的上报工作，完善医院对临床各部门的绩效考核，促进医院综合改革政策落地见效。</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641</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统一支付对账平台</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服务总线</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采用面向服务设计，增强系统扩展性，降低系统功能模块的耦合度，采用负载均衡技术，增加系统吞吐和稳定性。完成各业务系统之间的消息转发以及消息的逻辑处理，为各业务系统和外部对接系统提供统一的接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642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账户管理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对医院及周边服务商的账户进行管理配置：注册并生成商户，商户审核机制，并对商户的账户进行管理配置，包括结算银行、结算周期等，可针对各子商户登录进行账务查询。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643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多支付通道管理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集成各支付通道接口。主要与各银行、支付宝、微信等收单单位的加密方式完成支付通道的对接，并集成到一个统一的系统，为医院的App、支付宝服务窗、微信公众号、自助机、HIS窗口程序等应用提供统一的支付接口和退费接口。</w:t>
                  </w:r>
                  <w:r>
                    <w:br w:type="textWrapping"/>
                  </w:r>
                  <w:r>
                    <w:rPr>
                      <w:color w:val="000000"/>
                      <w:sz w:val="22"/>
                    </w:rPr>
                    <w:t>支付通道接口配置管理。能够根据医院的需求，灵活地配置医院所签约的支付通道。满足区域性的综合支付配置管理或者是单个医院多种不同支付通道的配置。</w:t>
                  </w:r>
                  <w:r>
                    <w:br w:type="textWrapping"/>
                  </w:r>
                  <w:r>
                    <w:rPr>
                      <w:color w:val="000000"/>
                      <w:sz w:val="22"/>
                    </w:rPr>
                    <w:t>多家银行投资时，在不拆分订单的情况下，最大限度的去满足资金比例的分配。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644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订单交易</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针对各商户提供查询订单信息的功能，接入综合支付集成管理平台的外部应用产生的订单集中分类别进行展示，可按照时间周期、订单状态来查询。</w:t>
                  </w:r>
                  <w:r>
                    <w:br w:type="textWrapping"/>
                  </w:r>
                  <w:r>
                    <w:rPr>
                      <w:color w:val="000000"/>
                      <w:sz w:val="22"/>
                    </w:rPr>
                    <w:t>为商户提供已支付的订单查询，交易查询只包含交易数据，无业务数据。可查询每笔交易的对账情况(支付通道是否已对账、HIS是否已对账)。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645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自动对账</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获取支付通道和HIS对账文件，并进行逐笔自动对账。可通过ftp、sftp、post、https、局域网共享等多张方式自动获取各签约银行、支付宝、微信等各通道的对账文件数据，并将获取的各种类型的对账文件数据进行解析后，自动写入到数据库。同时自动将其他第三方所需要的数据文件发送到指定的网络位置。自动获取商户需要对账的数据。自动将获取的通道数据和商户数据进行对账，为对账页面的展示提供数据</w:t>
                  </w:r>
                  <w:r>
                    <w:br w:type="textWrapping"/>
                  </w:r>
                  <w:r>
                    <w:rPr>
                      <w:color w:val="000000"/>
                      <w:sz w:val="22"/>
                    </w:rPr>
                    <w:t>异常账务预警，以短信/邮件的形式提醒；异常账务查询，账务问题原因及解决办法提醒。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646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报表统计</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对交易账户信息进行报表统计。</w:t>
                  </w:r>
                  <w:r>
                    <w:br w:type="textWrapping"/>
                  </w:r>
                  <w:r>
                    <w:rPr>
                      <w:color w:val="000000"/>
                      <w:sz w:val="22"/>
                    </w:rPr>
                    <w:t>终端交易统计报表。</w:t>
                  </w:r>
                  <w:r>
                    <w:br w:type="textWrapping"/>
                  </w:r>
                  <w:r>
                    <w:rPr>
                      <w:color w:val="000000"/>
                      <w:sz w:val="22"/>
                    </w:rPr>
                    <w:t>第三方应用交易统计报表。</w:t>
                  </w:r>
                  <w:r>
                    <w:br w:type="textWrapping"/>
                  </w:r>
                  <w:r>
                    <w:rPr>
                      <w:color w:val="000000"/>
                      <w:sz w:val="22"/>
                    </w:rPr>
                    <w:t>金融通道交易统计报表。</w:t>
                  </w:r>
                  <w:r>
                    <w:br w:type="textWrapping"/>
                  </w:r>
                  <w:r>
                    <w:rPr>
                      <w:color w:val="000000"/>
                      <w:sz w:val="22"/>
                    </w:rPr>
                    <w:t>对账统计报表。</w:t>
                  </w:r>
                  <w:r>
                    <w:br w:type="textWrapping"/>
                  </w:r>
                  <w:r>
                    <w:rPr>
                      <w:color w:val="000000"/>
                      <w:sz w:val="22"/>
                    </w:rPr>
                    <w:t>业务交易统计报表。</w:t>
                  </w:r>
                  <w:r>
                    <w:br w:type="textWrapping"/>
                  </w:r>
                  <w:r>
                    <w:rPr>
                      <w:color w:val="000000"/>
                      <w:sz w:val="22"/>
                    </w:rPr>
                    <w:t>可根据医院业务需求定制报表。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647</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支付组件</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移动支付组件</w:t>
                  </w:r>
                  <w:r>
                    <w:br w:type="textWrapping"/>
                  </w:r>
                  <w:r>
                    <w:rPr>
                      <w:color w:val="000000"/>
                      <w:sz w:val="22"/>
                    </w:rPr>
                    <w:t>提供手机移动应用调用支付的相关组件，提供移动支付SDK(包括安卓版本、IOS版本)。</w:t>
                  </w:r>
                  <w:r>
                    <w:br w:type="textWrapping"/>
                  </w:r>
                  <w:r>
                    <w:rPr>
                      <w:color w:val="000000"/>
                      <w:sz w:val="22"/>
                    </w:rPr>
                    <w:t>PC端支付组件</w:t>
                  </w:r>
                  <w:r>
                    <w:br w:type="textWrapping"/>
                  </w:r>
                  <w:r>
                    <w:rPr>
                      <w:color w:val="000000"/>
                      <w:sz w:val="22"/>
                    </w:rPr>
                    <w:t>提供人工窗口和自助设备调用的支付组件。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648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统一扫码支付</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集成支付宝、微信支付方式，用户扫唯一二维码完成支付。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649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支付终端管理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管理支付终端的支付方式、归集账户管理、终端交易量统计、查询。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650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系统管理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对平台的配置管理能力，包括：用户、角色管理，权限管理，日志管理，数据安全加密管理。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651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系统日志</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记录软件运行过程的日志，对异常状态进行跟踪、分析、预警。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652</w:t>
                  </w:r>
                </w:p>
              </w:tc>
              <w:tc>
                <w:tcPr>
                  <w:tcW w:w="46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智慧药学</w:t>
                  </w: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前置审方系统</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门诊开处方自动审核</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门诊开处方自动审核：</w:t>
                  </w:r>
                  <w:r>
                    <w:br w:type="textWrapping"/>
                  </w:r>
                  <w:r>
                    <w:rPr>
                      <w:color w:val="000000"/>
                      <w:sz w:val="22"/>
                    </w:rPr>
                    <w:t>门诊开处方自动审核:要求支持医生开处方时，医生核对处方医嘱动作发生时自动进行处方审核，并给出审核结果及未通过原因。审方状态包括三大类型:严重问题处方是强制控制医生不允许开出医嘱:一般问题处方对医生有提醒功能并自动发送给药师进行人工审核:正常处方不提示医生,可直接交费、调配发放。</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653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门诊处方手工审核</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门诊处方手工审核：要求支持一般问题处方由药师人工审核，系统提供病人全部医嘱、诊断、病历、电子检查单、检验结果、过敏记录等辅助药师进行审核，也可看到系统审核不通过的类别及详细原因，并给出审核结果及未通过的详细原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654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门诊处方审核查询及申诉</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门诊处方审核查询及申诉：要求支持药师审核不通过的处方信息推送给医生，由医生确认接收或进行申诉。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655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住院开医嘱自动审核</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住院开医嘱自动审核：要求支持住院医生开医嘱后，在审核医嘱时自动进行医嘱审核，并给出审核结果及未通过原因。审方状态包括三大类型，严重问题医嘱是强制控制医生不允许开出医嘱；一般问题医嘱有提醒功能，并自动发送给药师进行人工审核；正常医嘱可以进行护士领药审核、调配发放。</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656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住院医嘱手工审核</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住院医嘱手工审核：要求支持一般问题医嘱由药师进行二次审核，系统提供病人全部医嘱、诊断、病历、电子检查单、检验结果、过敏记录等辅助药师进行审核，并给出审核结果及未通过的详细原因。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657</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住院医嘱审核查询及申诉</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住院医嘱审核查询及申诉：要求支持药师审核不通过的医嘱信息推送给医生，由医生确认接收或进行申诉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658</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合理用药管理系统</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知识管理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安全用药分析的审查引擎需要大量的基础字典的数据支持，如：药品名称、给药途径、用药频率、单位、药学分类、剂型、性别、疾病、职业等等。安全用药智能决策系统中收录的常用的数据字典，用以支撑系统运行。同时提供字典数据录入界面，可以在系统已有数据字典的基础上进行数据的扩增，用于支持个性化和医院化的字典维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659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数据映射</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数据标准化映射是指在数据模型之间建立起对应关系。将这一过程称为数据映射。对系统数据通过清洗集成，将需要映射的数据进行梳理集成(his数据),通过导入或手工对照的方式，将数据实现对照。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660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结构化知识编辑</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系统收录了大量的药物说明书，支持数据计算和临床的查阅服务。考虑到数据的更新、修正，以及院内制剂的说明书电子化，系统开放了知识编辑的功能。可以进行新药品和院内药品的说明书知识录入，同时集成到系统中，支持数据计算，通过查询的方式，方便的进行线上阅读。</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661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个性化规则编辑</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安全用药分析对于用药安全风险把控的核心是智能审查，而智能审查又依托智能引擎，强大审查引擎需要强大的数据支持。安全用药分析使用标准、全面、覆盖度高的药品说明书，通过引擎结构化为系统可识别的规则，对临床医嘱行为进行合理性评估分析，并且支撑多种医学计算器的运行。</w:t>
                  </w:r>
                  <w:r>
                    <w:br w:type="textWrapping"/>
                  </w:r>
                  <w:r>
                    <w:rPr>
                      <w:color w:val="000000"/>
                      <w:sz w:val="22"/>
                    </w:rPr>
                    <w:t>虽然药品说明书拥有标准、全面、适用度高等特点，但对于专科医院以及拥有大量丰富特色诊疗的经验的医院而言，基础的说明书规则不能完全满足医院的业务需求。考虑到医院的个性化引用，安全用药分析系统开放了规则编辑功能，医院可通过系统提供的规则编辑器，将院方的特色经验数据采集到系统中，使之参与到用药审查和智能引擎的决策，让安全用药分析本地化、个性化、特色化。使之更加贴合医院的业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662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知识策略管理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授权管理</w:t>
                  </w:r>
                  <w:r>
                    <w:br w:type="textWrapping"/>
                  </w:r>
                  <w:r>
                    <w:rPr>
                      <w:color w:val="000000"/>
                      <w:sz w:val="22"/>
                    </w:rPr>
                    <w:t>在安全用药审查提供的维度中，可以全方位的管控的药品的各种情况，覆盖面大，提醒准确。但是在用户的需求中，不同院区、科室，甚至是不同医护人员需要关注的维护可能不同，为了提高工作效率，使警示信息更加精准，有针对性，同时也避免提示疲劳，系统支持个性化定制知识库审查深度，即支持“按医院”,“按职称”,“按科室”,“按医生”,不同权限分别定义所需进行审查的项目。</w:t>
                  </w:r>
                  <w:r>
                    <w:br w:type="textWrapping"/>
                  </w:r>
                  <w:r>
                    <w:rPr>
                      <w:color w:val="000000"/>
                      <w:sz w:val="22"/>
                    </w:rPr>
                    <w:t>规则管理</w:t>
                  </w:r>
                  <w:r>
                    <w:br w:type="textWrapping"/>
                  </w:r>
                  <w:r>
                    <w:rPr>
                      <w:color w:val="000000"/>
                      <w:sz w:val="22"/>
                    </w:rPr>
                    <w:t>系统中采集收录了说明书的限定规则，进行结构化，形成海量的审查规则库。考虑到规则的个性化和本地化，系统开放了规则管理功能，管理人员可以对规则进行查阅、复制、关闭。使规则更加的具体、更加的有针对性。</w:t>
                  </w:r>
                  <w:r>
                    <w:br w:type="textWrapping"/>
                  </w:r>
                  <w:r>
                    <w:rPr>
                      <w:color w:val="000000"/>
                      <w:sz w:val="22"/>
                    </w:rPr>
                    <w:t>审查项目管理</w:t>
                  </w:r>
                  <w:r>
                    <w:br w:type="textWrapping"/>
                  </w:r>
                  <w:r>
                    <w:rPr>
                      <w:color w:val="000000"/>
                      <w:sz w:val="22"/>
                    </w:rPr>
                    <w:t>安全用药审查中抽离出诸多的审查维度，每一个审查维度可以独立的进行审查，也可以多个维度进行相互印证，共同审查，以达到全方位审查的目的。</w:t>
                  </w:r>
                  <w:r>
                    <w:br w:type="textWrapping"/>
                  </w:r>
                  <w:r>
                    <w:rPr>
                      <w:color w:val="000000"/>
                      <w:sz w:val="22"/>
                    </w:rPr>
                    <w:t>以用法用量为例，用法用量中关注的审查维度的侧重点偏向与药品的剂量、途径、用法。而禁忌症中审查的维度侧重于药品的禁用情况，尤其是一些特殊的药品，二者通过定义审查维度策略定义，可以审查出两个维度的交叉区域和各自的侧重区域，对审查的把控更加严格。</w:t>
                  </w:r>
                  <w:r>
                    <w:br w:type="textWrapping"/>
                  </w:r>
                  <w:r>
                    <w:rPr>
                      <w:color w:val="000000"/>
                      <w:sz w:val="22"/>
                    </w:rPr>
                    <w:t>又如针对营养性补充药品，其适应度比较广，此时的维度中就可以将策略定义的较为广泛，限定范围和审查把控相对适度。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663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安全用药智能分析</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安全用药智能分析</w:t>
                  </w:r>
                  <w:r>
                    <w:br w:type="textWrapping"/>
                  </w:r>
                  <w:r>
                    <w:rPr>
                      <w:color w:val="000000"/>
                      <w:sz w:val="22"/>
                    </w:rPr>
                    <w:t>按照用药规则自动进行分析,自动进行合理用药审核,提醒临床医生、药师、护士可能存在的风险和问题,问题分为问题要点、正确用法、问题级别三个方面医生可以快捷的根据问题要点和该问题的严重级别进行评估是否需要修改处方:也可以了解问题指导下的正确用法，进一步的决策处方的合理性。</w:t>
                  </w:r>
                  <w:r>
                    <w:br w:type="textWrapping"/>
                  </w:r>
                  <w:r>
                    <w:rPr>
                      <w:color w:val="000000"/>
                      <w:sz w:val="22"/>
                    </w:rPr>
                    <w:t>包括以下用药审查：</w:t>
                  </w:r>
                  <w:r>
                    <w:br w:type="textWrapping"/>
                  </w:r>
                  <w:r>
                    <w:rPr>
                      <w:color w:val="000000"/>
                      <w:sz w:val="22"/>
                    </w:rPr>
                    <w:t>&gt;多类型科室用药审查</w:t>
                  </w:r>
                  <w:r>
                    <w:br w:type="textWrapping"/>
                  </w:r>
                  <w:r>
                    <w:rPr>
                      <w:color w:val="000000"/>
                      <w:sz w:val="22"/>
                    </w:rPr>
                    <w:t>&gt;跨处方用药审查</w:t>
                  </w:r>
                  <w:r>
                    <w:br w:type="textWrapping"/>
                  </w:r>
                  <w:r>
                    <w:rPr>
                      <w:color w:val="000000"/>
                      <w:sz w:val="22"/>
                    </w:rPr>
                    <w:t>&gt;跨时段用药审查</w:t>
                  </w:r>
                  <w:r>
                    <w:br w:type="textWrapping"/>
                  </w:r>
                  <w:r>
                    <w:rPr>
                      <w:color w:val="000000"/>
                      <w:sz w:val="22"/>
                    </w:rPr>
                    <w:t>&gt;跨科室用药审查</w:t>
                  </w:r>
                  <w:r>
                    <w:br w:type="textWrapping"/>
                  </w:r>
                  <w:r>
                    <w:rPr>
                      <w:color w:val="000000"/>
                      <w:sz w:val="22"/>
                    </w:rPr>
                    <w:t>&gt;儿童用药审查</w:t>
                  </w:r>
                  <w:r>
                    <w:br w:type="textWrapping"/>
                  </w:r>
                  <w:r>
                    <w:rPr>
                      <w:color w:val="000000"/>
                      <w:sz w:val="22"/>
                    </w:rPr>
                    <w:t>&gt;老年人用药审查</w:t>
                  </w:r>
                  <w:r>
                    <w:br w:type="textWrapping"/>
                  </w:r>
                  <w:r>
                    <w:rPr>
                      <w:color w:val="000000"/>
                      <w:sz w:val="22"/>
                    </w:rPr>
                    <w:t>&gt;妊娠期用药审查</w:t>
                  </w:r>
                  <w:r>
                    <w:br w:type="textWrapping"/>
                  </w:r>
                  <w:r>
                    <w:rPr>
                      <w:color w:val="000000"/>
                      <w:sz w:val="22"/>
                    </w:rPr>
                    <w:t>&gt;肝肾功能用药审查</w:t>
                  </w:r>
                  <w:r>
                    <w:br w:type="textWrapping"/>
                  </w:r>
                  <w:r>
                    <w:rPr>
                      <w:color w:val="000000"/>
                      <w:sz w:val="22"/>
                    </w:rPr>
                    <w:t>&gt;体表/体重用药审查</w:t>
                  </w:r>
                  <w:r>
                    <w:br w:type="textWrapping"/>
                  </w:r>
                  <w:r>
                    <w:rPr>
                      <w:color w:val="000000"/>
                      <w:sz w:val="22"/>
                    </w:rPr>
                    <w:t>&gt;职业用药审查</w:t>
                  </w:r>
                  <w:r>
                    <w:br w:type="textWrapping"/>
                  </w:r>
                  <w:r>
                    <w:rPr>
                      <w:color w:val="000000"/>
                      <w:sz w:val="22"/>
                    </w:rPr>
                    <w:t>&gt;超适应证用药审查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664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知识检索</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药品说明书</w:t>
                  </w:r>
                  <w:r>
                    <w:br w:type="textWrapping"/>
                  </w:r>
                  <w:r>
                    <w:rPr>
                      <w:color w:val="000000"/>
                      <w:sz w:val="22"/>
                    </w:rPr>
                    <w:t>对系统药品数据进行归类，分别为抗生素类、心脑血管用药、消化系统用药、呼吸系统用药、泌尿系统用药、血液系统用药、五官科用药、糖尿病用药、抗风湿类、激素类、皮肤科用药、妇科用药、抗肿瘤类、抗精神类、维生素矿物质用药。对完成分类的药品进行知识数据结构化，产生药品和药品名称、商品名称、药品分类、用途分类、成分、性状、适应证、规格、用法用量、不良反应、禁忌、注意事项、儿童用药、老年患者用药、孕妇及哺乳期妇女用药、相互作用、药物过量、药理作用、药代动力学、贮藏、包装、有效期、批准文号、生产企业、执行标准的结构化数据。</w:t>
                  </w:r>
                  <w:r>
                    <w:br w:type="textWrapping"/>
                  </w:r>
                  <w:r>
                    <w:rPr>
                      <w:color w:val="000000"/>
                      <w:sz w:val="22"/>
                    </w:rPr>
                    <w:t>对结构化数据进行逻辑处理，实现说明书的按分类管理、按药品通用名管理。最后形成丰富全面的药品说明书库。对说明书的个性化管理，方便查阅者通过分类检索一类药品的说明书的查询阅读，同时满足通过药品通用名的检索，进行阅读。</w:t>
                  </w:r>
                  <w:r>
                    <w:br w:type="textWrapping"/>
                  </w:r>
                  <w:r>
                    <w:rPr>
                      <w:color w:val="000000"/>
                      <w:sz w:val="22"/>
                    </w:rPr>
                    <w:t>药品说明书的重要意义在于，它是药品说明来源之一，也，还是药品生产、供应部门向医药卫生人员和人民群众宣传介绍药品特性、指导合理、安全用药和普及医药知识的主要媒介。</w:t>
                  </w:r>
                  <w:r>
                    <w:br w:type="textWrapping"/>
                  </w:r>
                  <w:r>
                    <w:rPr>
                      <w:color w:val="000000"/>
                      <w:sz w:val="22"/>
                    </w:rPr>
                    <w:t>可视化图谱</w:t>
                  </w:r>
                  <w:r>
                    <w:br w:type="textWrapping"/>
                  </w:r>
                  <w:r>
                    <w:rPr>
                      <w:color w:val="000000"/>
                      <w:sz w:val="22"/>
                    </w:rPr>
                    <w:t>药品知识图谱包含了丰富的语义信息，以结构化的形式来表示真实世界中的实体或概念以及它们之间的关联关系，其本质是一张巨大的语义网络图，将海量知识以更直观的方式展示。</w:t>
                  </w:r>
                  <w:r>
                    <w:br w:type="textWrapping"/>
                  </w:r>
                  <w:r>
                    <w:rPr>
                      <w:color w:val="000000"/>
                      <w:sz w:val="22"/>
                    </w:rPr>
                    <w:t>知识图谱查阅功能，提供便捷的查询，直观的表现出：药品与药品、药品与成分、药品与某类药品之间的相互作用；药品的适应证或者功能主治；药品的禁忌症信息；药品的用法、用量；药品的注意事项；药品的过敏；药品的不良反应等信息。这些结构化的数据，以图的形式展现出来，查看便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665</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处方点评系统</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生成点评单</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生成点评单：系统提供按门诊处方、住院医嘱、成人专项、抗菌药专项、处方综合点评等多种抽取方式，且能够根据抽取条件选择更加合理的需要的抽取内容。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666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分配点评任务</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分配点评任务：对于抽取后的内容可分配给指定点评人进行点评。</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667</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点评处方、点评医嘱</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点评处方、点评医嘱：点评人对抽取后的内容进行是否合理的点评，可嵌入合理用药软件，不合理内容将实时反馈给医师。</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668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查询统计</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查询统计：提供点评后的各种查询统计，包括不合理原因处方统计、科室点评情况、科室合理处方、科室不合理处方、处方用药基本信息统计、医生点评单情况、处方按医生排行、处方按科室排行、住院合理用药指标统计等相关报表。</w:t>
                  </w:r>
                  <w:r>
                    <w:br w:type="textWrapping"/>
                  </w:r>
                  <w:r>
                    <w:rPr>
                      <w:color w:val="000000"/>
                      <w:sz w:val="22"/>
                    </w:rPr>
                    <w:t>通过处方点评系统的使用，实现处方考核指标、排名分析、剂量分析发现处方管理上的不足，从而加强处方质量和药物临床应用管理，规范医师处方行为，定期对医务人员进行合理用药知识培训与教育，制定并落实持续质量改进措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669</w:t>
                  </w:r>
                </w:p>
              </w:tc>
              <w:tc>
                <w:tcPr>
                  <w:tcW w:w="46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患者服务</w:t>
                  </w:r>
                </w:p>
              </w:tc>
              <w:tc>
                <w:tcPr>
                  <w:tcW w:w="8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全资源预约平台</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统一床位预约管理系统</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床位作为医院的重要医疗资源，一直是医院管理内容的一个重点。床位预约管理系统将对医院的床位资源进行统一的管理、调配等。采用床位统一预约调配制度后，使患者住院等待时间大大缩短，同时，打破了病区和床位的界限，使床位利用率得到很大的提高，加快了床位的周转率，减轻了患者住院的难度。</w:t>
                  </w:r>
                  <w:r>
                    <w:br w:type="textWrapping"/>
                  </w:r>
                  <w:r>
                    <w:rPr>
                      <w:color w:val="000000"/>
                      <w:sz w:val="22"/>
                    </w:rPr>
                    <w:t>主要功能有：“全院一张床”模式管理，智能床位分配，全程预约消息提醒。</w:t>
                  </w:r>
                  <w:r>
                    <w:br w:type="textWrapping"/>
                  </w:r>
                  <w:r>
                    <w:rPr>
                      <w:color w:val="000000"/>
                      <w:sz w:val="22"/>
                    </w:rPr>
                    <w:t>“全院一张床”模式管理</w:t>
                  </w:r>
                  <w:r>
                    <w:br w:type="textWrapping"/>
                  </w:r>
                  <w:r>
                    <w:rPr>
                      <w:color w:val="000000"/>
                      <w:sz w:val="22"/>
                    </w:rPr>
                    <w:t>通过床位预约平台，对床位资源进行系统化、智能化动态管理，实现“全院一张床”管理模式。全院各科室的医生在床位预约平台可以即时了解医院床位信息，根据空余床位情况、患者病情及手术预约时间，合理、有序安排患者住院。在流程上，患者到医院就诊如需住院，只需要医生提交住院申请，床位预约平台会按照患者病情以及专科床位情况，智能分配床位。医生只负责专心诊治患者，不用再分心去寻找床位。通过“全院一张床”模式的推行，实现“医生跟着患者走”,病人床位安排在哪里，医生就跟踪到哪里，通过医生多跑动，更高效率解决群众的住院床位紧张问题。</w:t>
                  </w:r>
                  <w:r>
                    <w:br w:type="textWrapping"/>
                  </w:r>
                  <w:r>
                    <w:rPr>
                      <w:color w:val="000000"/>
                      <w:sz w:val="22"/>
                    </w:rPr>
                    <w:t>智能床位分配</w:t>
                  </w:r>
                  <w:r>
                    <w:br w:type="textWrapping"/>
                  </w:r>
                  <w:r>
                    <w:rPr>
                      <w:color w:val="000000"/>
                      <w:sz w:val="22"/>
                    </w:rPr>
                    <w:t>通过床位预约平台，医院的床位可用总数一目了然，不同的住院大楼、不同病区的总床位、空床、留床、今日离院、明日出院、待入院人数都清楚显示出来。通过床位预约平台，根据空余床位情况、患者病情及手术预约时间、核酸有效期，合理、有序地自动安排患者住院。整个排床过程智能自动，减少人工干预。</w:t>
                  </w:r>
                  <w:r>
                    <w:br w:type="textWrapping"/>
                  </w:r>
                  <w:r>
                    <w:rPr>
                      <w:color w:val="000000"/>
                      <w:sz w:val="22"/>
                    </w:rPr>
                    <w:t>全程预约消息提醒</w:t>
                  </w:r>
                  <w:r>
                    <w:br w:type="textWrapping"/>
                  </w:r>
                  <w:r>
                    <w:rPr>
                      <w:color w:val="000000"/>
                      <w:sz w:val="22"/>
                    </w:rPr>
                    <w:t>通过床位预约消息通知模块，实现“预约床位信息通知”、“入院通知信息告知”,“电话提醒办理入院”的全程提醒，通知患者第一时间办理住院，缓解患者等待床位过程的焦虑情绪。</w:t>
                  </w:r>
                  <w:r>
                    <w:br w:type="textWrapping"/>
                  </w:r>
                  <w:r>
                    <w:rPr>
                      <w:color w:val="000000"/>
                      <w:sz w:val="22"/>
                    </w:rPr>
                    <w:t>通过这个平台，全院各科室的医生可以即时了解医院床位资源信息，根据空余床位情况、患者病情及手术预约时间，合理、有序安排患者住院，创造性破解历史性难题。经过半年的运行，"床位使用率低"的科室和"床位紧张、病人等候时间长"的科室进行定向对接，床位利用率有效提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670</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统一医技预约管理系统</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医技窗口服务台预约</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预约窗口的医护人员根据患者就诊卡、登记号、姓名等信息查询患者的检查类医嘱。在预约界自动展示最近几天的可用的预约资源时间段信息，选择患者合适的时间段就行预约，也可重新选择合适的日期进行预约。预约完成后也可以取消预约。支持查看申请单信息，病史及临床所见、临床诊断以及检查目的等；支持查看患者历史检查信息。支持对资源预约数量和使用情况的查看和统计。支持检查申请的操作记录查询，从申请到预约、修改预约、取消预约、登记报到、检查完成、出报告等全流程监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671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自动预约</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根据时间规则、医学知识库规则，一键式自动批量预约患者的所有检查，智能规避检查时间冲突或医疗规则冲突。根据制定的规则，自动分配合适的检查时间，减轻医护人员工作量，减少患者排队次数。患者的多项检查在不冲突的情况下自动安排在同一天检查，减少患者来往医院次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w:t>
                  </w: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672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诊间预约</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▲医技诊间预约</w:t>
                  </w:r>
                  <w:r>
                    <w:br w:type="textWrapping"/>
                  </w:r>
                  <w:r>
                    <w:rPr>
                      <w:color w:val="000000"/>
                      <w:sz w:val="22"/>
                    </w:rPr>
                    <w:t>开完检查申请后，弹出诊间预约界面进行预约，系统默认匹配、推荐预约资源。诊间预约界面展示可用的预约时间段信息,默认选中推荐的最早的预约资源，还可根据实际情况询问患者或者相应的治疗安排进行检查资源的预约。可以取消已经预约好的检查或修改预约时间，预约之后可以打印预约单，提示患者按时检查以及检查的注意事项。对已预约且超出时间未缴费的申请单自动取消预约资源，防止资源浪费。(提供功能截图证明或重点功能响应承诺函（格式自拟），并加盖投标人公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673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住院病区预约</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病区护士可以统一管理病区患者的所有检查项目，查看该病区所有患者的电子检查申请单。病区护士可以对同一患者、多个患者的一批检查项目进行预约安排，可以对已预约检查就行取消、调整操作。打印病区检查预约通知单。可以查询本病区所有检查申请单的状态，可以整体了解待检查患者的检查安排及注意事项。可以查看病区当天所需进行检查的患者信息，可查看到患者的检查项目和检查状态等信息。支持与护工排班等医技运送系统的集成，合理安排住院患者的检查时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674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自助预约</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患者通过自助设备进行条码扫描或者读卡后，显示出患者可以操作的检查申请列表，选择后进行预约操作。根据规则库以及患者的检查申请信息，智能筛选自动推荐合适的检查地点和预约时间，也可由患者自主调整检查地点和预约时间进行预约。预约成功后自动打印预约单。预约成功后，如果有其他情况，患者可以进行取消预约或者修改预约操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675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移动端预约</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自动展示出可操作的检查申请单列表，以便患者操作。系统可根据检查申请信息和医学规则知识库自动智能提供最优的检查时间和资源，患者也可以自行调整检查时间。支持检查在未到检之前取消预约或者修改预约时间。支持显示检查申请的详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676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登记功能</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支持对检查医嘱在服务台人工登记。提供自助机登记接口。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677</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二次分诊功能</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在患者登记完成等待叫号检查时，在二次分诊页面直观展示患者登记队列。可进行查询诊间患者队列等待和呼叫情况，支持患者调整检查队列和呼叫状态。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678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检查知识库规则配置</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对科室、资源、时段进行维护，资源可以根据配置对应到诊室、设备或者设备组等，可以合理自定义时段资源区间。提供资源计划调整界面，方便操作者增减时间段内的预约数量和预约限制条件等信息。按周维护资源，可在上午/下午增加时段资源，可对时间段、资源数据量进行维护。支持资源规则维护，维护资源和检查项目的对应关系。维护检查项目的预约方式、注意事项等信息。维护资源的可预约诊区，实现分诊区预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679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预约统计分析功能</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按日期、时间段统计所有的预约信息，可展示科室、资源、时段等资源池的统计分析。统计检查开单量、预约量数据，对开单检查量比、预约率、爽约率等指标进行展示和趋势分析。对门诊、医技、患者自助等各类预约来源渠道，进行统计分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680</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统一手术预约管理系统</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数据管理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手术预约管理系统是对医院的普通手术预约和日间手术预约进行统一管理。该系统可支持集中式和分散式两种管理模式，术前、术中、术后进行无缝隙的全流程管理，可以更为高效、便捷的服务于每个患者，利于医院打造高质量、高效率的日间手术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681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资源管理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支持对手术人员、手术室等资源进行排班模板维护，可通过排班模板自动生成对应排班记录，可通过线上预约的方式完成资源占用；以及支持对生成得到资源排班记录进行调整及修改。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682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床位预约</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有些医院开启了床管中心，对于开启了床管中心流程的，需要在系统中进行床位预约。系统支持床位的登记及预约，且支持跨病区预约床位，实现全院床位资源共享。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683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手术安排</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手术室接收病房手术申请单。进行手术安排。手术室确定每台手术的手术间、台次、手术时间、器材护士、巡回护士，安排进修和实习人员。能够协调安排急症手术。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684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麻醉安排</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麻醉科安排麻醉师、进修和实习麻醉师，确定麻醉方法。打印手术排班报表。将确认后的每台手术的麻醉医生回传到HIS中。支持按手术间对麻醉师的排班。</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685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预约安排</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系统支持移动端和PC端预约安排合适的时间、手术室以及确定手术专家组，预约完成后系统自动生成患者告知单，通知患者来诊时间以及注意事项，按预约日期生成预约记录。预约消息推送至患者手机端。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686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手术的相关统计</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系统提供了手术的相关统计报表，包括：手术工作量统计、</w:t>
                  </w:r>
                  <w:r>
                    <w:br w:type="textWrapping"/>
                  </w:r>
                  <w:r>
                    <w:rPr>
                      <w:color w:val="000000"/>
                      <w:sz w:val="22"/>
                    </w:rPr>
                    <w:t>解决方案能保证高效完成门诊诊疗工作，同时也可降低患者的等待时间。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687</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统一治疗预约系统系统</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出诊模板维护</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对需要出诊科室资源进行出诊班次和出诊资源模板维护。模板数据包括：科室，医生，星期，时段，级别，分时段信息等。模板信息可以用来批量生成出诊记录。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688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出诊排班记录</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通过维护的排班模板生成一段时间的出诊资源。可以根据需要选择部分科室和部分出诊信息来进行生成也可已选择全部进行生成。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689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治疗分配</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治疗分配为可选流程，可指定需分配的治疗医师，若启用此流程，则治疗申请只有分配到指定人员才可进行治疗预约或治疗。系统实时展示可分配治疗师名下的申请单数，便于进行及时调整，平衡分配。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690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治疗预约</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进行预约的治疗申请，由治疗师选择相应日期及治疗师的治疗排班进行预约治疗。系统支持为多个申请进行批量预约，也支持为已预约的记录取消预约，可打印预约凭证。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691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出诊信息汇总</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对出诊信息的使用情况进行汇总查询，通过查询可以随时进行出诊资源投放的优化调整。</w:t>
                  </w:r>
                  <w:r>
                    <w:br w:type="textWrapping"/>
                  </w:r>
                  <w:r>
                    <w:rPr>
                      <w:color w:val="000000"/>
                      <w:sz w:val="22"/>
                    </w:rPr>
                    <w:t>通过分时段就诊和多种线上预约途径的支持，能更好的合理安排患者就诊时间，极大完善就诊秩序。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692</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预约管理监控系统</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号源监控</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显示全院总号源及各类号源的使用和剩余情况，支持按科室显示各科室的号源使用和剩余数量；同时可以实时展现各诊室的情况，包括门诊医生、所剩号源数量、当前已完成看诊数量、当前排队患者数量、患者平均就诊时间等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693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医技预约情况监控</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实时显示各检查科室当前的工作情况，包括今日各检查科室预计检查的人数、当前已完成预约人数、已报到待检查人数，未报到人数，已检查完人数等，为管理人员调配检查资源提供依据。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694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床位预约情况监控</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实时显示全院床位的情况，包括今日各科室当前已完成预约人数、已报到待入院人数，未报到人数，已出院人数等，为管理人员调配检查资源提供依据。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695</w:t>
                  </w:r>
                </w:p>
              </w:tc>
              <w:tc>
                <w:tcPr>
                  <w:tcW w:w="464" w:type="dxa"/>
                  <w:vMerge w:val="continue"/>
                  <w:tcBorders>
                    <w:top w:val="nil"/>
                    <w:left w:val="nil"/>
                    <w:bottom w:val="single" w:color="000000" w:sz="4" w:space="0"/>
                    <w:right w:val="single" w:color="000000" w:sz="4" w:space="0"/>
                  </w:tcBorders>
                </w:tcPr>
                <w:p/>
              </w:tc>
              <w:tc>
                <w:tcPr>
                  <w:tcW w:w="150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手术预约情况监控</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实时显示各科室当前的手术工作情况，包括今日待手术人员、当前已完成预约人数、已报到待手术人数，未报到人数，已检手术完成人数等，为管理人员调配检查资源提供依据。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696</w:t>
                  </w:r>
                </w:p>
              </w:tc>
              <w:tc>
                <w:tcPr>
                  <w:tcW w:w="464" w:type="dxa"/>
                  <w:vMerge w:val="continue"/>
                  <w:tcBorders>
                    <w:top w:val="nil"/>
                    <w:left w:val="nil"/>
                    <w:bottom w:val="single" w:color="000000" w:sz="4" w:space="0"/>
                    <w:right w:val="single" w:color="000000" w:sz="4" w:space="0"/>
                  </w:tcBorders>
                </w:tcPr>
                <w:p/>
              </w:tc>
              <w:tc>
                <w:tcPr>
                  <w:tcW w:w="150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治疗预约情况监控</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实时显示各治疗科室当前的工作情况，包括今日各治疗科室预计治疗的人数、当前已完成预约人数、已报到待治疗人数，未报到人数，已治疗完人数等，为管理人员调配检查资源提供依据。</w:t>
                  </w:r>
                  <w:r>
                    <w:br w:type="textWrapping"/>
                  </w:r>
                  <w:r>
                    <w:rPr>
                      <w:color w:val="000000"/>
                      <w:sz w:val="22"/>
                    </w:rPr>
                    <w:t>通过对全院预约数据聚集汇总的展示，向管理人员实时监管预约情况、调整预约工作重点提供管理数据支持。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697</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系统管理平台</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基础数据导入管理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页面左侧为所有导入页面的菜单，右侧为导入操作页面，并支持多种文件类型(表格、文本)的导入，多种导入模式，导入模板更灵活，且能预校验数据，将不符合数据逻辑规则的错误信息提示出来。导入失败的数据可以重新导出再整理。还具有灵活的拓展功能包括维护界面有的字段拓展以及维护界面没有的字段拓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698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多种文件格式导入</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支持Excel和Txt两种导入模板，()Excel可以在页面上直接下载导入模板，按照模板准备数据，而且模板里每列的顺序可以自己修改，更加灵活。</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699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导入模式</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导入模式有三种：只追加数据、修正数据和新装数据：</w:t>
                  </w:r>
                  <w:r>
                    <w:br w:type="textWrapping"/>
                  </w:r>
                  <w:r>
                    <w:rPr>
                      <w:color w:val="000000"/>
                      <w:sz w:val="22"/>
                    </w:rPr>
                    <w:t>)只追加数据：会与数据库中已有的数据进行比对，相同的跳过导入，数据库不存在的则新增；</w:t>
                  </w:r>
                  <w:r>
                    <w:br w:type="textWrapping"/>
                  </w:r>
                  <w:r>
                    <w:rPr>
                      <w:color w:val="000000"/>
                      <w:sz w:val="22"/>
                    </w:rPr>
                    <w:t>)修正数据：会与数据库中已有的数据进行比对，数据不同的则修改原数据，数据相同的不修改，数据库中不存在的则新增；</w:t>
                  </w:r>
                  <w:r>
                    <w:br w:type="textWrapping"/>
                  </w:r>
                  <w:r>
                    <w:rPr>
                      <w:color w:val="000000"/>
                      <w:sz w:val="22"/>
                    </w:rPr>
                    <w:t>)新装数据：会把数据中这个页面的数据全部清除掉，在增加新数据，这个导入模式适用于项目初期第一次导入数据时使用，选择需要慎重。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700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预校验功能</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在数据预览以后，点击预校验按钮，可以校验数据的有效性(比如时间、数字、日期等)、重复性(代码和描述是否已存在)、对应的指针数据是否存在等问题，并提示在列表里。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701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导出错误信息</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在数据导入或者预校验以后，如果有导入失败或者校验失败的数据会提示在列表里，我们可以点击导出到Excel按钮，讲这些错误数据及具体错误信息导出到表格里，重新加以整理，这个表格可以直接在页面上再导入，也方便实施人员操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702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数据质量控制</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通过校验和跟踪对数据质量问题进行管理，从数据格式、数据值域、数据间的逻辑关系等角度做质量审核，如可按照空值校验、重复校验、格式校验、一致性校验和逻辑校验等审核规则对患者基本信息数据进行质量控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703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日志管理系统</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基础数据维护下的页面都调用了日志接口，对数据的新增、修改、删除操作都存有日志，记录了操作用户、IP地址、时间以及操作前后数据的变化等信息。</w:t>
                  </w:r>
                  <w:r>
                    <w:br w:type="textWrapping"/>
                  </w:r>
                  <w:r>
                    <w:rPr>
                      <w:color w:val="000000"/>
                      <w:sz w:val="22"/>
                    </w:rPr>
                    <w:t>可以查看数据的变更记录，以便错误操作数据时可以及时恢复数据和查找责任人。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704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基础数据日志管理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这个页面可以查看所有数据的历史操作日志(包括添加、修改、删除三种类型),可以根据具体页面查看，也可以批量查看某些菜单下的日志。选中一条记录后，双击这条记录，可以查看每个字段的详细信息以及数据变动对比。在基础数据下的页面上可以开启日志按钮，查看本页面上数据的变动记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705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数据全生命周期管理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极致的数据安全保障方案，用户的每一个动作都将被留痕，可以查看任意数据的历次变动记录，以便错误操作数据时可以及时恢复数据。</w:t>
                  </w:r>
                  <w:r>
                    <w:br w:type="textWrapping"/>
                  </w:r>
                  <w:r>
                    <w:rPr>
                      <w:color w:val="000000"/>
                      <w:sz w:val="22"/>
                    </w:rPr>
                    <w:t>数据生命周期功能将一条记录从新增，修改到最后被删除整个过程用时间轴的方式展示出来，可以直观明了的看到这条数据的历史变动记录及明细。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706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日志审计</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日志审计功能是由专门的人对历史日志进行审核，发现违规操作后可以将日志记录标记为异常，如果是数据的正常变动则标记为正常。该功能需要在“基础数据平台配置-平台配置”页面开始日志审核功能。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707</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系统管理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系统提供灵活的用户管理、角色管理、部门管理、资源管理、字典管理、数据管理、指标管理、资讯管理等基础配置功能及日志管理、缓存管理、服务器监控、在线用户管理等平台监控功能。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708</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关联系统接口对接</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HIS信息交换</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提供系统与HIS之间的信息交互。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709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检验(LIS)信息交换</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提供系统与检验系统之间的信息交互。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710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影像(PACS)信息交换</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提供系统与影像系统之间的信息交互。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711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心电(ECG)信息交换</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提供系统与心电系统之间的信息交互。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712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病理(PIS)信息交换</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提供系统与病理系统之间的信息交互。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713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手术麻醉业务交换</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提供系统与手术麻醉系统之间的信息交互。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714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治疗管理系统交换</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提供系统与治疗管理系统之间的信息交互。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715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物资管理系统交换</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提供系统与物资管理系统之间的信息交互。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716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短信平台系统交换</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提供系统与短信平台系统之间的信息交互。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717</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互联网平台</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提供系统与互联网平台系统之间的信息交互。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718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其他系统交换(预留)</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实施阶段，根据医院信息系统实际情况调整。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719</w:t>
                  </w:r>
                </w:p>
              </w:tc>
              <w:tc>
                <w:tcPr>
                  <w:tcW w:w="46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互联网医院</w:t>
                  </w: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互联网开放平台</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API管理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接口管理</w:t>
                  </w:r>
                  <w:r>
                    <w:br w:type="textWrapping"/>
                  </w:r>
                  <w:r>
                    <w:rPr>
                      <w:color w:val="000000"/>
                      <w:sz w:val="22"/>
                    </w:rPr>
                    <w:t>接口统一集中管理，避免接口杂乱无章，难以管理。</w:t>
                  </w:r>
                  <w:r>
                    <w:br w:type="textWrapping"/>
                  </w:r>
                  <w:r>
                    <w:rPr>
                      <w:color w:val="000000"/>
                      <w:sz w:val="22"/>
                    </w:rPr>
                    <w:t>生命周期管理</w:t>
                  </w:r>
                  <w:r>
                    <w:br w:type="textWrapping"/>
                  </w:r>
                  <w:r>
                    <w:rPr>
                      <w:color w:val="000000"/>
                      <w:sz w:val="22"/>
                    </w:rPr>
                    <w:t>生命周期管理包括，API创建、测试、发布、下线、升级、维护等。</w:t>
                  </w:r>
                  <w:r>
                    <w:br w:type="textWrapping"/>
                  </w:r>
                  <w:r>
                    <w:rPr>
                      <w:color w:val="000000"/>
                      <w:sz w:val="22"/>
                    </w:rPr>
                    <w:t>管理工具</w:t>
                  </w:r>
                  <w:r>
                    <w:br w:type="textWrapping"/>
                  </w:r>
                  <w:r>
                    <w:rPr>
                      <w:color w:val="000000"/>
                      <w:sz w:val="22"/>
                    </w:rPr>
                    <w:t>能提供灵活的接口组织方式，冗余检测，实时备份，发、导入导出。</w:t>
                  </w:r>
                  <w:r>
                    <w:br w:type="textWrapping"/>
                  </w:r>
                  <w:r>
                    <w:rPr>
                      <w:color w:val="000000"/>
                      <w:sz w:val="22"/>
                    </w:rPr>
                    <w:t>安全保障</w:t>
                  </w:r>
                  <w:r>
                    <w:br w:type="textWrapping"/>
                  </w:r>
                  <w:r>
                    <w:rPr>
                      <w:color w:val="000000"/>
                      <w:sz w:val="22"/>
                    </w:rPr>
                    <w:t>能通过数据加密，调用令牌凭证，身份认证等技术手段，接口认证授权、接口安全管理、接口隐私保护、对接口的调用进行严格的控制和把关，拒绝非法调用。</w:t>
                  </w:r>
                  <w:r>
                    <w:br w:type="textWrapping"/>
                  </w:r>
                  <w:r>
                    <w:rPr>
                      <w:color w:val="000000"/>
                      <w:sz w:val="22"/>
                    </w:rPr>
                    <w:t>日志系统</w:t>
                  </w:r>
                  <w:r>
                    <w:br w:type="textWrapping"/>
                  </w:r>
                  <w:r>
                    <w:rPr>
                      <w:color w:val="000000"/>
                      <w:sz w:val="22"/>
                    </w:rPr>
                    <w:t>通过强大而灵活的日志系统，方便管理员对接口进行管理，保证业务的稳定运行。</w:t>
                  </w:r>
                  <w:r>
                    <w:br w:type="textWrapping"/>
                  </w:r>
                  <w:r>
                    <w:rPr>
                      <w:color w:val="000000"/>
                      <w:sz w:val="22"/>
                    </w:rPr>
                    <w:t>接口独立性</w:t>
                  </w:r>
                  <w:r>
                    <w:br w:type="textWrapping"/>
                  </w:r>
                  <w:r>
                    <w:rPr>
                      <w:color w:val="000000"/>
                      <w:sz w:val="22"/>
                    </w:rPr>
                    <w:t>当应用接口变化时，平台可以通过配置管理保证接口的独立性，外部应用无需任何改变。</w:t>
                  </w:r>
                  <w:r>
                    <w:br w:type="textWrapping"/>
                  </w:r>
                  <w:r>
                    <w:rPr>
                      <w:color w:val="000000"/>
                      <w:sz w:val="22"/>
                    </w:rPr>
                    <w:t>缓存策略</w:t>
                  </w:r>
                  <w:r>
                    <w:br w:type="textWrapping"/>
                  </w:r>
                  <w:r>
                    <w:rPr>
                      <w:color w:val="000000"/>
                      <w:sz w:val="22"/>
                    </w:rPr>
                    <w:t>能提供多种缓存策略：数据库缓存，文件缓存，Redis缓存。</w:t>
                  </w:r>
                  <w:r>
                    <w:br w:type="textWrapping"/>
                  </w:r>
                  <w:r>
                    <w:rPr>
                      <w:color w:val="000000"/>
                      <w:sz w:val="22"/>
                    </w:rPr>
                    <w:t>分布式管理</w:t>
                  </w:r>
                  <w:r>
                    <w:br w:type="textWrapping"/>
                  </w:r>
                  <w:r>
                    <w:rPr>
                      <w:color w:val="000000"/>
                      <w:sz w:val="22"/>
                    </w:rPr>
                    <w:t>分布式群集，提高应用性能，支撑业务的高并发要求，保证应用稳定性。并通过消息队列保证数据多点一致性。</w:t>
                  </w:r>
                  <w:r>
                    <w:br w:type="textWrapping"/>
                  </w:r>
                  <w:r>
                    <w:rPr>
                      <w:color w:val="000000"/>
                      <w:sz w:val="22"/>
                    </w:rPr>
                    <w:t>流量控制</w:t>
                  </w:r>
                  <w:r>
                    <w:br w:type="textWrapping"/>
                  </w:r>
                  <w:r>
                    <w:rPr>
                      <w:color w:val="000000"/>
                      <w:sz w:val="22"/>
                    </w:rPr>
                    <w:t>平台有灵活控制流量，可以设置按分钟、小时、天的调用量控制，根据接口、分类、应用、授权等任意组合进行全方位的流量管理。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720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视频通信</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云端混流</w:t>
                  </w:r>
                  <w:r>
                    <w:br w:type="textWrapping"/>
                  </w:r>
                  <w:r>
                    <w:rPr>
                      <w:color w:val="000000"/>
                      <w:sz w:val="22"/>
                    </w:rPr>
                    <w:t>能支持最大同时条流混流，支持混入种输入源类型(音视频、纯音频、纯视频、水印、画布),支持混流合成全新流，支持裁剪，水印功能，支持模板配置，支持混流录制，支持自动混流，支持实时混流种类与位置切换，混流启动与取消无缝平滑过渡。</w:t>
                  </w:r>
                  <w:r>
                    <w:br w:type="textWrapping"/>
                  </w:r>
                  <w:r>
                    <w:rPr>
                      <w:color w:val="000000"/>
                      <w:sz w:val="22"/>
                    </w:rPr>
                    <w:t>视频录制</w:t>
                  </w:r>
                  <w:r>
                    <w:br w:type="textWrapping"/>
                  </w:r>
                  <w:r>
                    <w:rPr>
                      <w:color w:val="000000"/>
                      <w:sz w:val="22"/>
                    </w:rPr>
                    <w:t>支持视频录制功能，可录制多种规格的视频。流名称多级别录制，可以在推流域名、流名称级别配置是否需要录制。按指定时间段录制，可以通过调用API控制录制的开始与结束时间，能在指定的时间内进行录制。</w:t>
                  </w:r>
                  <w:r>
                    <w:br w:type="textWrapping"/>
                  </w:r>
                  <w:r>
                    <w:rPr>
                      <w:color w:val="000000"/>
                      <w:sz w:val="22"/>
                    </w:rPr>
                    <w:t>视频拼接</w:t>
                  </w:r>
                  <w:r>
                    <w:br w:type="textWrapping"/>
                  </w:r>
                  <w:r>
                    <w:rPr>
                      <w:color w:val="000000"/>
                      <w:sz w:val="22"/>
                    </w:rPr>
                    <w:t>使用此功能后，设置好推流中断自动拼接时间(最长可设置分钟，即最长支持将中断分钟的推流拼接成一个文件),在最后一次正常推流结束后，能自动拼接断流时间内的内容并生成HLS录制文件。</w:t>
                  </w:r>
                  <w:r>
                    <w:br w:type="textWrapping"/>
                  </w:r>
                  <w:r>
                    <w:rPr>
                      <w:color w:val="000000"/>
                      <w:sz w:val="22"/>
                    </w:rPr>
                    <w:t>人脸识别</w:t>
                  </w:r>
                  <w:r>
                    <w:br w:type="textWrapping"/>
                  </w:r>
                  <w:r>
                    <w:rPr>
                      <w:color w:val="000000"/>
                      <w:sz w:val="22"/>
                    </w:rPr>
                    <w:t>人脸信息管理：</w:t>
                  </w:r>
                  <w:r>
                    <w:br w:type="textWrapping"/>
                  </w:r>
                  <w:r>
                    <w:rPr>
                      <w:color w:val="000000"/>
                      <w:sz w:val="22"/>
                    </w:rPr>
                    <w:t>各层次信息查询和删除，包括组、人员、人脸。</w:t>
                  </w:r>
                  <w:r>
                    <w:br w:type="textWrapping"/>
                  </w:r>
                  <w:r>
                    <w:rPr>
                      <w:color w:val="000000"/>
                      <w:sz w:val="22"/>
                    </w:rPr>
                    <w:t>人脸统计分析：</w:t>
                  </w:r>
                  <w:r>
                    <w:br w:type="textWrapping"/>
                  </w:r>
                  <w:r>
                    <w:rPr>
                      <w:color w:val="000000"/>
                      <w:sz w:val="22"/>
                    </w:rPr>
                    <w:t>人员和人脸的日期趋势图和组趋势图、组、人员和人脸的总数、日增长数、周增长数。</w:t>
                  </w:r>
                  <w:r>
                    <w:br w:type="textWrapping"/>
                  </w:r>
                  <w:r>
                    <w:rPr>
                      <w:color w:val="000000"/>
                      <w:sz w:val="22"/>
                    </w:rPr>
                    <w:t>人脸检测：</w:t>
                  </w:r>
                  <w:r>
                    <w:br w:type="textWrapping"/>
                  </w:r>
                  <w:r>
                    <w:rPr>
                      <w:color w:val="000000"/>
                      <w:sz w:val="22"/>
                    </w:rPr>
                    <w:t>多脸检测、人脸静态活体检测、人脸检测检索。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721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实时监控</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硬件监控</w:t>
                  </w:r>
                  <w:r>
                    <w:br w:type="textWrapping"/>
                  </w:r>
                  <w:r>
                    <w:rPr>
                      <w:color w:val="000000"/>
                      <w:sz w:val="22"/>
                    </w:rPr>
                    <w:t>磁盘监控，内存监控，CPU负载监控，缓冲区监控，磁盘阵列监控。</w:t>
                  </w:r>
                  <w:r>
                    <w:br w:type="textWrapping"/>
                  </w:r>
                  <w:r>
                    <w:rPr>
                      <w:color w:val="000000"/>
                      <w:sz w:val="22"/>
                    </w:rPr>
                    <w:t>应用监控</w:t>
                  </w:r>
                  <w:r>
                    <w:br w:type="textWrapping"/>
                  </w:r>
                  <w:r>
                    <w:rPr>
                      <w:color w:val="000000"/>
                      <w:sz w:val="22"/>
                    </w:rPr>
                    <w:t>对LVS,Nginx,MySQL,PHP,REDIS,RABBITMQ等应用程序进行监控。</w:t>
                  </w:r>
                  <w:r>
                    <w:br w:type="textWrapping"/>
                  </w:r>
                  <w:r>
                    <w:rPr>
                      <w:color w:val="000000"/>
                      <w:sz w:val="22"/>
                    </w:rPr>
                    <w:t>流量监控</w:t>
                  </w:r>
                  <w:r>
                    <w:br w:type="textWrapping"/>
                  </w:r>
                  <w:r>
                    <w:rPr>
                      <w:color w:val="000000"/>
                      <w:sz w:val="22"/>
                    </w:rPr>
                    <w:t>对服务器流进行的监控，包括数据的流出、数据的流入的速度、总流量等。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722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统计分析</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综合统计</w:t>
                  </w:r>
                  <w:r>
                    <w:br w:type="textWrapping"/>
                  </w:r>
                  <w:r>
                    <w:rPr>
                      <w:color w:val="000000"/>
                      <w:sz w:val="22"/>
                    </w:rPr>
                    <w:t>对平台整体进行统计，包括：应用数量，接口数量，用户数量，设备数量等。</w:t>
                  </w:r>
                  <w:r>
                    <w:br w:type="textWrapping"/>
                  </w:r>
                  <w:r>
                    <w:rPr>
                      <w:color w:val="000000"/>
                      <w:sz w:val="22"/>
                    </w:rPr>
                    <w:t>访问量统计</w:t>
                  </w:r>
                  <w:r>
                    <w:br w:type="textWrapping"/>
                  </w:r>
                  <w:r>
                    <w:rPr>
                      <w:color w:val="000000"/>
                      <w:sz w:val="22"/>
                    </w:rPr>
                    <w:t>接口访问量实时统计，接口调用成功率，接口覆盖率等。</w:t>
                  </w:r>
                  <w:r>
                    <w:br w:type="textWrapping"/>
                  </w:r>
                  <w:r>
                    <w:rPr>
                      <w:color w:val="000000"/>
                      <w:sz w:val="22"/>
                    </w:rPr>
                    <w:t>接口统计</w:t>
                  </w:r>
                  <w:r>
                    <w:br w:type="textWrapping"/>
                  </w:r>
                  <w:r>
                    <w:rPr>
                      <w:color w:val="000000"/>
                      <w:sz w:val="22"/>
                    </w:rPr>
                    <w:t>接口的日，周，月的调用量，接口的平均访问时间，接口的最大耗时等。</w:t>
                  </w:r>
                  <w:r>
                    <w:br w:type="textWrapping"/>
                  </w:r>
                  <w:r>
                    <w:rPr>
                      <w:color w:val="000000"/>
                      <w:sz w:val="22"/>
                    </w:rPr>
                    <w:t>后台统计</w:t>
                  </w:r>
                  <w:r>
                    <w:br w:type="textWrapping"/>
                  </w:r>
                  <w:r>
                    <w:rPr>
                      <w:color w:val="000000"/>
                      <w:sz w:val="22"/>
                    </w:rPr>
                    <w:t>服务调用量，消费者数量，服务器数量，用户量等。</w:t>
                  </w:r>
                  <w:r>
                    <w:br w:type="textWrapping"/>
                  </w:r>
                  <w:r>
                    <w:rPr>
                      <w:color w:val="000000"/>
                      <w:sz w:val="22"/>
                    </w:rPr>
                    <w:t>数据分析</w:t>
                  </w:r>
                  <w:r>
                    <w:br w:type="textWrapping"/>
                  </w:r>
                  <w:r>
                    <w:rPr>
                      <w:color w:val="000000"/>
                      <w:sz w:val="22"/>
                    </w:rPr>
                    <w:t>包括就诊人数，小程序、APP、WEB端使用量，就诊人数年龄分布，性别分布等。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723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互联网医院运营分析</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就诊分析</w:t>
                  </w:r>
                  <w:r>
                    <w:br w:type="textWrapping"/>
                  </w:r>
                  <w:r>
                    <w:rPr>
                      <w:color w:val="000000"/>
                      <w:sz w:val="22"/>
                    </w:rPr>
                    <w:t>查询互联网医院就诊记录，管理员可以通过此功能对医生出诊情况监管记录，对医患纠纷保留证据；同时无缝对接互联网医院监管平台。</w:t>
                  </w:r>
                  <w:r>
                    <w:br w:type="textWrapping"/>
                  </w:r>
                  <w:r>
                    <w:rPr>
                      <w:color w:val="000000"/>
                      <w:sz w:val="22"/>
                    </w:rPr>
                    <w:t>科室工作量统计</w:t>
                  </w:r>
                  <w:r>
                    <w:br w:type="textWrapping"/>
                  </w:r>
                  <w:r>
                    <w:rPr>
                      <w:color w:val="000000"/>
                      <w:sz w:val="22"/>
                    </w:rPr>
                    <w:t>统计各科室的问诊量、排班量、接诊数、接诊率、退号数。</w:t>
                  </w:r>
                  <w:r>
                    <w:br w:type="textWrapping"/>
                  </w:r>
                  <w:r>
                    <w:rPr>
                      <w:color w:val="000000"/>
                      <w:sz w:val="22"/>
                    </w:rPr>
                    <w:t>医生工作量统计</w:t>
                  </w:r>
                  <w:r>
                    <w:br w:type="textWrapping"/>
                  </w:r>
                  <w:r>
                    <w:rPr>
                      <w:color w:val="000000"/>
                      <w:sz w:val="22"/>
                    </w:rPr>
                    <w:t>医生工作量统计：统计医生的问诊量、排班量、接诊数、接诊率、退号数、被关注数量。</w:t>
                  </w:r>
                  <w:r>
                    <w:br w:type="textWrapping"/>
                  </w:r>
                  <w:r>
                    <w:rPr>
                      <w:color w:val="000000"/>
                      <w:sz w:val="22"/>
                    </w:rPr>
                    <w:t>患者反馈与建议</w:t>
                  </w:r>
                  <w:r>
                    <w:br w:type="textWrapping"/>
                  </w:r>
                  <w:r>
                    <w:rPr>
                      <w:color w:val="000000"/>
                      <w:sz w:val="22"/>
                    </w:rPr>
                    <w:t>查看患者的反馈与建议。</w:t>
                  </w:r>
                  <w:r>
                    <w:br w:type="textWrapping"/>
                  </w:r>
                  <w:r>
                    <w:rPr>
                      <w:color w:val="000000"/>
                      <w:sz w:val="22"/>
                    </w:rPr>
                    <w:t>患者评价</w:t>
                  </w:r>
                  <w:r>
                    <w:br w:type="textWrapping"/>
                  </w:r>
                  <w:r>
                    <w:rPr>
                      <w:color w:val="000000"/>
                      <w:sz w:val="22"/>
                    </w:rPr>
                    <w:t>就诊后患者评价展示与查看。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724</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互联网支付平台</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支付网关</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支付网关支持连接微信、支付宝移动支付系统包括扫码支付、快捷支付以及各银行的银联网上银行系统，为用户提供统一的费用清算功能，实现个人医疗健康服务结算的在线支付以及退款处理业务。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725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医保支付</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支持医保在线脱卡支付，与医保系统对接，实现包括患者身份信息实名认证核实、医保挂号费用支付、医保诊间支付以及医保账户管理、医保财务对账和消息推送等功能。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726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订单管理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提供包括订单/流水号、交易日期、订单内容、交易金额、手续费、交易状态等交易记录的查询功能，以及单边账的退款功能。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727</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财务对账</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多渠道对账</w:t>
                  </w:r>
                  <w:r>
                    <w:br w:type="textWrapping"/>
                  </w:r>
                  <w:r>
                    <w:rPr>
                      <w:color w:val="000000"/>
                      <w:sz w:val="22"/>
                    </w:rPr>
                    <w:t>提供第三方和HIS订单总金额和总笔数、单笔明细的对账，支持包括自助机/银联、微信/支付宝移动支付在内的多个渠道的账务对账功能。</w:t>
                  </w:r>
                  <w:r>
                    <w:br w:type="textWrapping"/>
                  </w:r>
                  <w:r>
                    <w:rPr>
                      <w:color w:val="000000"/>
                      <w:sz w:val="22"/>
                    </w:rPr>
                    <w:t>自动对账</w:t>
                  </w:r>
                  <w:r>
                    <w:br w:type="textWrapping"/>
                  </w:r>
                  <w:r>
                    <w:rPr>
                      <w:color w:val="000000"/>
                      <w:sz w:val="22"/>
                    </w:rPr>
                    <w:t>后台收单行绑定医院开户行即可，不再需要单独与各银行人工逐一对账，在正常情况下系统会自动完成账务核对工作；不同院区，不同商户和支付方式剥离自动对账。</w:t>
                  </w:r>
                  <w:r>
                    <w:br w:type="textWrapping"/>
                  </w:r>
                  <w:r>
                    <w:rPr>
                      <w:color w:val="000000"/>
                      <w:sz w:val="22"/>
                    </w:rPr>
                    <w:t>实时交易数据展示</w:t>
                  </w:r>
                  <w:r>
                    <w:br w:type="textWrapping"/>
                  </w:r>
                  <w:r>
                    <w:rPr>
                      <w:color w:val="000000"/>
                      <w:sz w:val="22"/>
                    </w:rPr>
                    <w:t>图文形式直观展示实时交易数据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728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差异</w:t>
                  </w:r>
                  <w:r>
                    <w:rPr>
                      <w:rFonts w:hint="eastAsia"/>
                      <w:color w:val="000000"/>
                      <w:sz w:val="22"/>
                      <w:lang w:val="en-US" w:eastAsia="zh-CN"/>
                    </w:rPr>
                    <w:t>账</w:t>
                  </w:r>
                  <w:r>
                    <w:rPr>
                      <w:color w:val="000000"/>
                      <w:sz w:val="22"/>
                    </w:rPr>
                    <w:t>单</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差异</w:t>
                  </w:r>
                  <w:r>
                    <w:rPr>
                      <w:rFonts w:hint="eastAsia"/>
                      <w:color w:val="000000"/>
                      <w:sz w:val="22"/>
                      <w:lang w:val="en-US" w:eastAsia="zh-CN"/>
                    </w:rPr>
                    <w:t>账</w:t>
                  </w:r>
                  <w:bookmarkStart w:id="0" w:name="_GoBack"/>
                  <w:bookmarkEnd w:id="0"/>
                  <w:r>
                    <w:rPr>
                      <w:color w:val="000000"/>
                      <w:sz w:val="22"/>
                    </w:rPr>
                    <w:t>单明细统计，一目了然，并提供坏账、单边账的查询、预警、监控和处理功能，通过系统定时任务(一致性校验)自动处理坏账，一定时间内系统自动处理累积的坏账。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729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交易分析</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交易数据展示</w:t>
                  </w:r>
                  <w:r>
                    <w:br w:type="textWrapping"/>
                  </w:r>
                  <w:r>
                    <w:rPr>
                      <w:color w:val="000000"/>
                      <w:sz w:val="22"/>
                    </w:rPr>
                    <w:t>提供总体交易金额和交易笔数，各个支付渠道的交易金额和笔数的饼状图，提供一周内的交易总金额和交易笔数，各个支付渠道的交易金额和笔数的表格和曲线图、实时查看当日交易金额，交易笔数，退费金额和退费笔数的数据呈现以及走势图。以图文形式直观展示实时交易数据，使数据呈现可视化。</w:t>
                  </w:r>
                  <w:r>
                    <w:br w:type="textWrapping"/>
                  </w:r>
                  <w:r>
                    <w:rPr>
                      <w:color w:val="000000"/>
                      <w:sz w:val="22"/>
                    </w:rPr>
                    <w:t>交易数据分析</w:t>
                  </w:r>
                  <w:r>
                    <w:br w:type="textWrapping"/>
                  </w:r>
                  <w:r>
                    <w:rPr>
                      <w:color w:val="000000"/>
                      <w:sz w:val="22"/>
                    </w:rPr>
                    <w:t>通过可视化呈现交易数据走势进行分析，根据不同时间段数据交易量的大小来分析院内业务系统的承载能力，分配相应的医疗资源，有效支撑疾病科研和组织决策分析。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730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系统管理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提供入驻商户/支付账户的信息管理、微信/支付宝/银联/银行/医保等多渠道管理、系统业务应用对接管理、后台管理操作员信息的增删改查、系统菜单授权以及用户分组权限角色管理等功能。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731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支付安全管理</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系统支持对订单支付交易关键数据和痕迹的保留。</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732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权限设置</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根据用户分组管理设置不同菜单权限。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733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消息平台</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消息平台利用客户端IM组件、客户端IM基础库、主流平台SDK以及服务端API等，通过即时通信(IM)提供一整套即时通讯基础服务能力，将即时通讯、实时网络能力快速集成至医院系统自身应用中，快速响应不同应用场景，同时支持多维度统计查询和统计分析功能。</w:t>
                  </w:r>
                  <w:r>
                    <w:br w:type="textWrapping"/>
                  </w:r>
                  <w:r>
                    <w:rPr>
                      <w:color w:val="000000"/>
                      <w:sz w:val="22"/>
                    </w:rPr>
                    <w:t>消息平台支持互联网医院多终端消息推送微信小程序、医生APP、PC医生端，通过与his业务深度结合，统一用户体系实现智能推送。</w:t>
                  </w:r>
                  <w:r>
                    <w:br w:type="textWrapping"/>
                  </w:r>
                  <w:r>
                    <w:rPr>
                      <w:color w:val="000000"/>
                      <w:sz w:val="22"/>
                    </w:rPr>
                    <w:t>具体功能描述：员工管理、患者管理、统一认证、微信公众号推送、微信小程序推送、短信推送、消息单发、消息群发、单点通信、群组通信、多消息类型支持、消息管理、用户画像、消息记录、消息统计、系统兼容、多端同步、注册消息推送、绑卡消息推送、解绑消息推送、预约挂号消息推送、取消预约/挂号消息推送、停诊消息推送、替诊消息推送、缴费提醒消息推送、诊疗接入提醒、检验/检查报告消息推送。</w:t>
                  </w:r>
                  <w:r>
                    <w:br w:type="textWrapping"/>
                  </w:r>
                  <w:r>
                    <w:rPr>
                      <w:color w:val="000000"/>
                      <w:sz w:val="22"/>
                    </w:rPr>
                    <w:t>员工管理</w:t>
                  </w:r>
                  <w:r>
                    <w:br w:type="textWrapping"/>
                  </w:r>
                  <w:r>
                    <w:rPr>
                      <w:color w:val="000000"/>
                      <w:sz w:val="22"/>
                    </w:rPr>
                    <w:t>员工中心主要对员工用户体系的用户数据、存储和服务接口进行统一和集中管理。员工包括医院内部员工和第三方外派员工。</w:t>
                  </w:r>
                  <w:r>
                    <w:br w:type="textWrapping"/>
                  </w:r>
                  <w:r>
                    <w:rPr>
                      <w:color w:val="000000"/>
                      <w:sz w:val="22"/>
                    </w:rPr>
                    <w:t>患者管理</w:t>
                  </w:r>
                  <w:r>
                    <w:br w:type="textWrapping"/>
                  </w:r>
                  <w:r>
                    <w:rPr>
                      <w:color w:val="000000"/>
                      <w:sz w:val="22"/>
                    </w:rPr>
                    <w:t>患者中心主要对患者用户体系的用户数据、存储和服务接口进行统一和集中管理。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734</w:t>
                  </w:r>
                </w:p>
              </w:tc>
              <w:tc>
                <w:tcPr>
                  <w:tcW w:w="464" w:type="dxa"/>
                  <w:vMerge w:val="continue"/>
                  <w:tcBorders>
                    <w:top w:val="nil"/>
                    <w:left w:val="nil"/>
                    <w:bottom w:val="single" w:color="000000" w:sz="4" w:space="0"/>
                    <w:right w:val="single" w:color="000000" w:sz="4" w:space="0"/>
                  </w:tcBorders>
                </w:tcP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互联网医院患者微信小程序</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身份验证</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登录授权</w:t>
                  </w:r>
                  <w:r>
                    <w:br w:type="textWrapping"/>
                  </w:r>
                  <w:r>
                    <w:rPr>
                      <w:color w:val="000000"/>
                      <w:sz w:val="22"/>
                    </w:rPr>
                    <w:t>通过登录开放接口获取用户登录凭证，进而换取用户登录态信息，包括用户身份唯一标识openid以及该次登录的会话秘钥；授权用户微信身份(头像、昵称)。</w:t>
                  </w:r>
                  <w:r>
                    <w:br w:type="textWrapping"/>
                  </w:r>
                  <w:r>
                    <w:rPr>
                      <w:color w:val="000000"/>
                      <w:sz w:val="22"/>
                    </w:rPr>
                    <w:t>CR就诊实名识别</w:t>
                  </w:r>
                  <w:r>
                    <w:br w:type="textWrapping"/>
                  </w:r>
                  <w:r>
                    <w:rPr>
                      <w:color w:val="000000"/>
                      <w:sz w:val="22"/>
                    </w:rPr>
                    <w:t>系统支持通过上传患者身份证照片CR自动识别患者姓名、身份证号码等身份证信息。</w:t>
                  </w:r>
                  <w:r>
                    <w:br w:type="textWrapping"/>
                  </w:r>
                  <w:r>
                    <w:rPr>
                      <w:color w:val="000000"/>
                      <w:sz w:val="22"/>
                    </w:rPr>
                    <w:t>绑定手机/建档</w:t>
                  </w:r>
                  <w:r>
                    <w:br w:type="textWrapping"/>
                  </w:r>
                  <w:r>
                    <w:rPr>
                      <w:color w:val="000000"/>
                      <w:sz w:val="22"/>
                    </w:rPr>
                    <w:t>授权用户验证患者身份证信息后，通过手机注册发送验证码绑定患者。</w:t>
                  </w:r>
                  <w:r>
                    <w:br w:type="textWrapping"/>
                  </w:r>
                  <w:r>
                    <w:rPr>
                      <w:color w:val="000000"/>
                      <w:sz w:val="22"/>
                    </w:rPr>
                    <w:t>人脸识别</w:t>
                  </w:r>
                  <w:r>
                    <w:br w:type="textWrapping"/>
                  </w:r>
                  <w:r>
                    <w:rPr>
                      <w:color w:val="000000"/>
                      <w:sz w:val="22"/>
                    </w:rPr>
                    <w:t>系统支持通过人脸识别方式进行实名认证。</w:t>
                  </w:r>
                  <w:r>
                    <w:br w:type="textWrapping"/>
                  </w:r>
                  <w:r>
                    <w:rPr>
                      <w:color w:val="000000"/>
                      <w:sz w:val="22"/>
                    </w:rPr>
                    <w:t>绑定就诊卡</w:t>
                  </w:r>
                  <w:r>
                    <w:br w:type="textWrapping"/>
                  </w:r>
                  <w:r>
                    <w:rPr>
                      <w:color w:val="000000"/>
                      <w:sz w:val="22"/>
                    </w:rPr>
                    <w:t>系统可以绑定线下实体医院患者就诊卡进行在线问诊，通过就诊卡索引管理患者相关信息。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735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医院+互联网服务</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当日挂号</w:t>
                  </w:r>
                  <w:r>
                    <w:br w:type="textWrapping"/>
                  </w:r>
                  <w:r>
                    <w:rPr>
                      <w:color w:val="000000"/>
                      <w:sz w:val="22"/>
                    </w:rPr>
                    <w:t>患者可选择当天开放的号源，根据自身病情选择对应科室，根据不同日期或医生并选择就诊时间段进行预约。</w:t>
                  </w:r>
                  <w:r>
                    <w:br w:type="textWrapping"/>
                  </w:r>
                  <w:r>
                    <w:rPr>
                      <w:color w:val="000000"/>
                      <w:sz w:val="22"/>
                    </w:rPr>
                    <w:t>预约挂号</w:t>
                  </w:r>
                  <w:r>
                    <w:br w:type="textWrapping"/>
                  </w:r>
                  <w:r>
                    <w:rPr>
                      <w:color w:val="000000"/>
                      <w:sz w:val="22"/>
                    </w:rPr>
                    <w:t>患者可预约选择一定期限内开放的号源，根据自身病情选择对应科室，根据不同日期或医生并选择就诊时间段进行预约。</w:t>
                  </w:r>
                  <w:r>
                    <w:br w:type="textWrapping"/>
                  </w:r>
                  <w:r>
                    <w:rPr>
                      <w:color w:val="000000"/>
                      <w:sz w:val="22"/>
                    </w:rPr>
                    <w:t>在线缴费</w:t>
                  </w:r>
                  <w:r>
                    <w:br w:type="textWrapping"/>
                  </w:r>
                  <w:r>
                    <w:rPr>
                      <w:color w:val="000000"/>
                      <w:sz w:val="22"/>
                    </w:rPr>
                    <w:t>包括待缴费提醒通知，待缴费查询，在线支付，缴费成功通知，预充值缴费等；提供患者预约挂号费支付以及诊间支付功能，为患者省去排队等候时间。</w:t>
                  </w:r>
                  <w:r>
                    <w:br w:type="textWrapping"/>
                  </w:r>
                  <w:r>
                    <w:rPr>
                      <w:color w:val="000000"/>
                      <w:sz w:val="22"/>
                    </w:rPr>
                    <w:t>扫码支付</w:t>
                  </w:r>
                  <w:r>
                    <w:br w:type="textWrapping"/>
                  </w:r>
                  <w:r>
                    <w:rPr>
                      <w:color w:val="000000"/>
                      <w:sz w:val="22"/>
                    </w:rPr>
                    <w:t>扫一扫单据上的支付二维码进行支付。</w:t>
                  </w:r>
                  <w:r>
                    <w:br w:type="textWrapping"/>
                  </w:r>
                  <w:r>
                    <w:rPr>
                      <w:color w:val="000000"/>
                      <w:sz w:val="22"/>
                    </w:rPr>
                    <w:t>报告单查询</w:t>
                  </w:r>
                  <w:r>
                    <w:br w:type="textWrapping"/>
                  </w:r>
                  <w:r>
                    <w:rPr>
                      <w:color w:val="000000"/>
                      <w:sz w:val="22"/>
                    </w:rPr>
                    <w:t>互联网医院支持线下业务，提供查询患者历史报告单的信息列表；报告单详情等(与医院现有公众号保持一致)。</w:t>
                  </w:r>
                  <w:r>
                    <w:br w:type="textWrapping"/>
                  </w:r>
                  <w:r>
                    <w:rPr>
                      <w:color w:val="000000"/>
                      <w:sz w:val="22"/>
                    </w:rPr>
                    <w:t>住院日清单</w:t>
                  </w:r>
                  <w:r>
                    <w:br w:type="textWrapping"/>
                  </w:r>
                  <w:r>
                    <w:rPr>
                      <w:color w:val="000000"/>
                      <w:sz w:val="22"/>
                    </w:rPr>
                    <w:t>住院患者查看住院日清单，支持根据日期筛选。</w:t>
                  </w:r>
                  <w:r>
                    <w:br w:type="textWrapping"/>
                  </w:r>
                  <w:r>
                    <w:rPr>
                      <w:color w:val="000000"/>
                      <w:sz w:val="22"/>
                    </w:rPr>
                    <w:t>住院预交金</w:t>
                  </w:r>
                  <w:r>
                    <w:br w:type="textWrapping"/>
                  </w:r>
                  <w:r>
                    <w:rPr>
                      <w:color w:val="000000"/>
                      <w:sz w:val="22"/>
                    </w:rPr>
                    <w:t>支持住院患者住院充值。</w:t>
                  </w:r>
                  <w:r>
                    <w:br w:type="textWrapping"/>
                  </w:r>
                  <w:r>
                    <w:rPr>
                      <w:color w:val="000000"/>
                      <w:sz w:val="22"/>
                    </w:rPr>
                    <w:t>电子票据</w:t>
                  </w:r>
                  <w:r>
                    <w:br w:type="textWrapping"/>
                  </w:r>
                  <w:r>
                    <w:rPr>
                      <w:color w:val="000000"/>
                      <w:sz w:val="22"/>
                    </w:rPr>
                    <w:t>患者缴费后电子票据自动开具，患者可实时在线查询获取电子票据信息，同时支持微信扫一扫收费凭条获取电子票据信息。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736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图文问诊</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科室分类</w:t>
                  </w:r>
                  <w:r>
                    <w:br w:type="textWrapping"/>
                  </w:r>
                  <w:r>
                    <w:rPr>
                      <w:color w:val="000000"/>
                      <w:sz w:val="22"/>
                    </w:rPr>
                    <w:t>可根据his科室为基础，进行分类单独形成主页，支持自定义修改。</w:t>
                  </w:r>
                  <w:r>
                    <w:br w:type="textWrapping"/>
                  </w:r>
                  <w:r>
                    <w:rPr>
                      <w:color w:val="000000"/>
                      <w:sz w:val="22"/>
                    </w:rPr>
                    <w:t>医生列表</w:t>
                  </w:r>
                  <w:r>
                    <w:br w:type="textWrapping"/>
                  </w:r>
                  <w:r>
                    <w:rPr>
                      <w:color w:val="000000"/>
                      <w:sz w:val="22"/>
                    </w:rPr>
                    <w:t>支持显示按科室显示医生，支持按综合、评价、职称、工作量等多种排名方式显示医生排名顺序，患者可自行选择排名方式；支持医生在多科室同时展示。</w:t>
                  </w:r>
                  <w:r>
                    <w:br w:type="textWrapping"/>
                  </w:r>
                  <w:r>
                    <w:rPr>
                      <w:color w:val="000000"/>
                      <w:sz w:val="22"/>
                    </w:rPr>
                    <w:t>智能搜索医生</w:t>
                  </w:r>
                  <w:r>
                    <w:br w:type="textWrapping"/>
                  </w:r>
                  <w:r>
                    <w:rPr>
                      <w:color w:val="000000"/>
                      <w:sz w:val="22"/>
                    </w:rPr>
                    <w:t>支持按科室、医生姓名、擅长疾病等条件智能搜索医生。</w:t>
                  </w:r>
                  <w:r>
                    <w:br w:type="textWrapping"/>
                  </w:r>
                  <w:r>
                    <w:rPr>
                      <w:color w:val="000000"/>
                      <w:sz w:val="22"/>
                    </w:rPr>
                    <w:t>线上预诊问卷</w:t>
                  </w:r>
                  <w:r>
                    <w:br w:type="textWrapping"/>
                  </w:r>
                  <w:r>
                    <w:rPr>
                      <w:color w:val="000000"/>
                      <w:sz w:val="22"/>
                    </w:rPr>
                    <w:t>病情描述、检验检查报告拍照图片上传以及相关既往病史等，支持文字、图片等形式。</w:t>
                  </w:r>
                  <w:r>
                    <w:br w:type="textWrapping"/>
                  </w:r>
                  <w:r>
                    <w:rPr>
                      <w:color w:val="000000"/>
                      <w:sz w:val="22"/>
                    </w:rPr>
                    <w:t>疾病描述</w:t>
                  </w:r>
                  <w:r>
                    <w:br w:type="textWrapping"/>
                  </w:r>
                  <w:r>
                    <w:rPr>
                      <w:color w:val="000000"/>
                      <w:sz w:val="22"/>
                    </w:rPr>
                    <w:t>患者填写病情描述以及相关主述。</w:t>
                  </w:r>
                  <w:r>
                    <w:br w:type="textWrapping"/>
                  </w:r>
                  <w:r>
                    <w:rPr>
                      <w:color w:val="000000"/>
                      <w:sz w:val="22"/>
                    </w:rPr>
                    <w:t>图片上传</w:t>
                  </w:r>
                  <w:r>
                    <w:br w:type="textWrapping"/>
                  </w:r>
                  <w:r>
                    <w:rPr>
                      <w:color w:val="000000"/>
                      <w:sz w:val="22"/>
                    </w:rPr>
                    <w:t>患者上传于本次问诊相关的病情资料，支持手机拍照图片上传。</w:t>
                  </w:r>
                  <w:r>
                    <w:br w:type="textWrapping"/>
                  </w:r>
                  <w:r>
                    <w:rPr>
                      <w:color w:val="000000"/>
                      <w:sz w:val="22"/>
                    </w:rPr>
                    <w:t>门诊病历和建议查看</w:t>
                  </w:r>
                  <w:r>
                    <w:br w:type="textWrapping"/>
                  </w:r>
                  <w:r>
                    <w:rPr>
                      <w:color w:val="000000"/>
                      <w:sz w:val="22"/>
                    </w:rPr>
                    <w:t>患者可以调阅自己的线上门诊病历以及医嘱建议查看。</w:t>
                  </w:r>
                  <w:r>
                    <w:br w:type="textWrapping"/>
                  </w:r>
                  <w:r>
                    <w:rPr>
                      <w:color w:val="000000"/>
                      <w:sz w:val="22"/>
                    </w:rPr>
                    <w:t>一对一咨询问诊</w:t>
                  </w:r>
                  <w:r>
                    <w:br w:type="textWrapping"/>
                  </w:r>
                  <w:r>
                    <w:rPr>
                      <w:color w:val="000000"/>
                      <w:sz w:val="22"/>
                    </w:rPr>
                    <w:t>患者提交预诊问卷，对接即时通信平台，患者以IM形式和医生一对一，点对点进行对话，支持发送文字，图片。</w:t>
                  </w:r>
                  <w:r>
                    <w:br w:type="textWrapping"/>
                  </w:r>
                  <w:r>
                    <w:rPr>
                      <w:color w:val="000000"/>
                      <w:sz w:val="22"/>
                    </w:rPr>
                    <w:t>图文咨询状态显示</w:t>
                  </w:r>
                  <w:r>
                    <w:br w:type="textWrapping"/>
                  </w:r>
                  <w:r>
                    <w:rPr>
                      <w:color w:val="000000"/>
                      <w:sz w:val="22"/>
                    </w:rPr>
                    <w:t>支持患者端实现待支付、支付失败、待回复、咨询中、申请退款等状态的分类和查询。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737</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视频问诊</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分时段预约</w:t>
                  </w:r>
                  <w:r>
                    <w:br w:type="textWrapping"/>
                  </w:r>
                  <w:r>
                    <w:rPr>
                      <w:color w:val="000000"/>
                      <w:sz w:val="22"/>
                    </w:rPr>
                    <w:t>支持患者端分时段预约医生视频问诊，支持以短信方式告知患者。</w:t>
                  </w:r>
                  <w:r>
                    <w:br w:type="textWrapping"/>
                  </w:r>
                  <w:r>
                    <w:rPr>
                      <w:color w:val="000000"/>
                      <w:sz w:val="22"/>
                    </w:rPr>
                    <w:t>一对一视频问诊：连接消息平台，视频通知、视频开始提醒，支持和接诊医生一对一进行腾讯软视频沟通。</w:t>
                  </w:r>
                  <w:r>
                    <w:br w:type="textWrapping"/>
                  </w:r>
                  <w:r>
                    <w:rPr>
                      <w:color w:val="000000"/>
                      <w:sz w:val="22"/>
                    </w:rPr>
                    <w:t>视频录制</w:t>
                  </w:r>
                  <w:r>
                    <w:br w:type="textWrapping"/>
                  </w:r>
                  <w:r>
                    <w:rPr>
                      <w:color w:val="000000"/>
                      <w:sz w:val="22"/>
                    </w:rPr>
                    <w:t>系统支持音视频问诊资料的录制、转码、归档存储，支持对象云端存储。</w:t>
                  </w:r>
                  <w:r>
                    <w:br w:type="textWrapping"/>
                  </w:r>
                  <w:r>
                    <w:rPr>
                      <w:color w:val="000000"/>
                      <w:sz w:val="22"/>
                    </w:rPr>
                    <w:t>视频录播系统支持问诊过程的录播。</w:t>
                  </w:r>
                  <w:r>
                    <w:br w:type="textWrapping"/>
                  </w:r>
                  <w:r>
                    <w:rPr>
                      <w:color w:val="000000"/>
                      <w:sz w:val="22"/>
                    </w:rPr>
                    <w:t>预约列表</w:t>
                  </w:r>
                  <w:r>
                    <w:br w:type="textWrapping"/>
                  </w:r>
                  <w:r>
                    <w:rPr>
                      <w:color w:val="000000"/>
                      <w:sz w:val="22"/>
                    </w:rPr>
                    <w:t>互联网医院的科室排班在线号源列表。</w:t>
                  </w:r>
                  <w:r>
                    <w:br w:type="textWrapping"/>
                  </w:r>
                  <w:r>
                    <w:rPr>
                      <w:color w:val="000000"/>
                      <w:sz w:val="22"/>
                    </w:rPr>
                    <w:t>评价医生</w:t>
                  </w:r>
                  <w:r>
                    <w:br w:type="textWrapping"/>
                  </w:r>
                  <w:r>
                    <w:rPr>
                      <w:color w:val="000000"/>
                      <w:sz w:val="22"/>
                    </w:rPr>
                    <w:t>就诊结束后支持患者通过标签、打星评价医生。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738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诊疗方案</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医嘱建议</w:t>
                  </w:r>
                  <w:r>
                    <w:br w:type="textWrapping"/>
                  </w:r>
                  <w:r>
                    <w:rPr>
                      <w:color w:val="000000"/>
                      <w:sz w:val="22"/>
                    </w:rPr>
                    <w:t>问诊结束后患者可查看医生针对问诊医嘱建议。</w:t>
                  </w:r>
                  <w:r>
                    <w:br w:type="textWrapping"/>
                  </w:r>
                  <w:r>
                    <w:rPr>
                      <w:color w:val="000000"/>
                      <w:sz w:val="22"/>
                    </w:rPr>
                    <w:t>在线诊断</w:t>
                  </w:r>
                  <w:r>
                    <w:br w:type="textWrapping"/>
                  </w:r>
                  <w:r>
                    <w:rPr>
                      <w:color w:val="000000"/>
                      <w:sz w:val="22"/>
                    </w:rPr>
                    <w:t>可以查看医生针对问诊的病情诊断记录等。</w:t>
                  </w:r>
                  <w:r>
                    <w:br w:type="textWrapping"/>
                  </w:r>
                  <w:r>
                    <w:rPr>
                      <w:color w:val="000000"/>
                      <w:sz w:val="22"/>
                    </w:rPr>
                    <w:t>在线检验</w:t>
                  </w:r>
                  <w:r>
                    <w:br w:type="textWrapping"/>
                  </w:r>
                  <w:r>
                    <w:rPr>
                      <w:color w:val="000000"/>
                      <w:sz w:val="22"/>
                    </w:rPr>
                    <w:t>支持线上开医技检验单，对接院内医技预约系统。</w:t>
                  </w:r>
                  <w:r>
                    <w:br w:type="textWrapping"/>
                  </w:r>
                  <w:r>
                    <w:rPr>
                      <w:color w:val="000000"/>
                      <w:sz w:val="22"/>
                    </w:rPr>
                    <w:t>在线检查</w:t>
                  </w:r>
                  <w:r>
                    <w:br w:type="textWrapping"/>
                  </w:r>
                  <w:r>
                    <w:rPr>
                      <w:color w:val="000000"/>
                      <w:sz w:val="22"/>
                    </w:rPr>
                    <w:t>支持线上开医技检查单，对接院内医技预约系统。</w:t>
                  </w:r>
                  <w:r>
                    <w:br w:type="textWrapping"/>
                  </w:r>
                  <w:r>
                    <w:rPr>
                      <w:color w:val="000000"/>
                      <w:sz w:val="22"/>
                    </w:rPr>
                    <w:t>在线处方</w:t>
                  </w:r>
                  <w:r>
                    <w:br w:type="textWrapping"/>
                  </w:r>
                  <w:r>
                    <w:rPr>
                      <w:color w:val="000000"/>
                      <w:sz w:val="22"/>
                    </w:rPr>
                    <w:t>支持线上开电子处方。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739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处方流转</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在线处方医嘱</w:t>
                  </w:r>
                  <w:r>
                    <w:br w:type="textWrapping"/>
                  </w:r>
                  <w:r>
                    <w:rPr>
                      <w:color w:val="000000"/>
                      <w:sz w:val="22"/>
                    </w:rPr>
                    <w:t>医生在线开具医嘱建议，包括诊断、电子处方等。</w:t>
                  </w:r>
                  <w:r>
                    <w:br w:type="textWrapping"/>
                  </w:r>
                  <w:r>
                    <w:rPr>
                      <w:color w:val="000000"/>
                      <w:sz w:val="22"/>
                    </w:rPr>
                    <w:t>在线续方</w:t>
                  </w:r>
                  <w:r>
                    <w:br w:type="textWrapping"/>
                  </w:r>
                  <w:r>
                    <w:rPr>
                      <w:color w:val="000000"/>
                      <w:sz w:val="22"/>
                    </w:rPr>
                    <w:t>医生在线开具处方，可选择新开处方，也可选择使用患者的历史处方进行延用。</w:t>
                  </w:r>
                  <w:r>
                    <w:br w:type="textWrapping"/>
                  </w:r>
                  <w:r>
                    <w:rPr>
                      <w:color w:val="000000"/>
                      <w:sz w:val="22"/>
                    </w:rPr>
                    <w:t>在线支付</w:t>
                  </w:r>
                  <w:r>
                    <w:br w:type="textWrapping"/>
                  </w:r>
                  <w:r>
                    <w:rPr>
                      <w:color w:val="000000"/>
                      <w:sz w:val="22"/>
                    </w:rPr>
                    <w:t>针对处方药品，用户可以通过微信/支付宝支付在线付费。</w:t>
                  </w:r>
                  <w:r>
                    <w:br w:type="textWrapping"/>
                  </w:r>
                  <w:r>
                    <w:rPr>
                      <w:color w:val="000000"/>
                      <w:sz w:val="22"/>
                    </w:rPr>
                    <w:t>处方消息提醒</w:t>
                  </w:r>
                  <w:r>
                    <w:br w:type="textWrapping"/>
                  </w:r>
                  <w:r>
                    <w:rPr>
                      <w:color w:val="000000"/>
                      <w:sz w:val="22"/>
                    </w:rPr>
                    <w:t>系统通过手机短信或者推送处方消息提醒。</w:t>
                  </w:r>
                  <w:r>
                    <w:br w:type="textWrapping"/>
                  </w:r>
                  <w:r>
                    <w:rPr>
                      <w:color w:val="000000"/>
                      <w:sz w:val="22"/>
                    </w:rPr>
                    <w:t>处方记录</w:t>
                  </w:r>
                  <w:r>
                    <w:br w:type="textWrapping"/>
                  </w:r>
                  <w:r>
                    <w:rPr>
                      <w:color w:val="000000"/>
                      <w:sz w:val="22"/>
                    </w:rPr>
                    <w:t>患者可以查看相关医生开具的处方记录。</w:t>
                  </w:r>
                  <w:r>
                    <w:br w:type="textWrapping"/>
                  </w:r>
                  <w:r>
                    <w:rPr>
                      <w:color w:val="000000"/>
                      <w:sz w:val="22"/>
                    </w:rPr>
                    <w:t>药品物流管理</w:t>
                  </w:r>
                  <w:r>
                    <w:br w:type="textWrapping"/>
                  </w:r>
                  <w:r>
                    <w:rPr>
                      <w:color w:val="000000"/>
                      <w:sz w:val="22"/>
                    </w:rPr>
                    <w:t>对接处方药品配送的物流信息，包括配送状态和路径查看</w:t>
                  </w:r>
                  <w:r>
                    <w:br w:type="textWrapping"/>
                  </w:r>
                  <w:r>
                    <w:rPr>
                      <w:color w:val="000000"/>
                      <w:sz w:val="22"/>
                    </w:rPr>
                    <w:t>电子处方签章</w:t>
                  </w:r>
                  <w:r>
                    <w:br w:type="textWrapping"/>
                  </w:r>
                  <w:r>
                    <w:rPr>
                      <w:color w:val="000000"/>
                      <w:sz w:val="22"/>
                    </w:rPr>
                    <w:t>由看诊医生开具的电子处方，通过CA进行电子签名，解决电子处方应用与流转过程中身份认证和内容防篡改的问题。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740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传染病自筛平台</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患者自筛</w:t>
                  </w:r>
                  <w:r>
                    <w:br w:type="textWrapping"/>
                  </w:r>
                  <w:r>
                    <w:rPr>
                      <w:color w:val="000000"/>
                      <w:sz w:val="22"/>
                    </w:rPr>
                    <w:t>患者自行根据情况进行填写，根据内容系统自动筛查判断。</w:t>
                  </w:r>
                  <w:r>
                    <w:br w:type="textWrapping"/>
                  </w:r>
                  <w:r>
                    <w:rPr>
                      <w:color w:val="000000"/>
                      <w:sz w:val="22"/>
                    </w:rPr>
                    <w:t>分诊、预诊筛查</w:t>
                  </w:r>
                  <w:r>
                    <w:br w:type="textWrapping"/>
                  </w:r>
                  <w:r>
                    <w:rPr>
                      <w:color w:val="000000"/>
                      <w:sz w:val="22"/>
                    </w:rPr>
                    <w:t>医院分诊、预诊时由患者进行填写情况，根据内容系统自动筛查判断。</w:t>
                  </w:r>
                  <w:r>
                    <w:br w:type="textWrapping"/>
                  </w:r>
                  <w:r>
                    <w:rPr>
                      <w:color w:val="000000"/>
                      <w:sz w:val="22"/>
                    </w:rPr>
                    <w:t>统计报表</w:t>
                  </w:r>
                  <w:r>
                    <w:br w:type="textWrapping"/>
                  </w:r>
                  <w:r>
                    <w:rPr>
                      <w:color w:val="000000"/>
                      <w:sz w:val="22"/>
                    </w:rPr>
                    <w:t>统计分析，异常值标注。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741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个人中心</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就诊人管理</w:t>
                  </w:r>
                  <w:r>
                    <w:br w:type="textWrapping"/>
                  </w:r>
                  <w:r>
                    <w:rPr>
                      <w:color w:val="000000"/>
                      <w:sz w:val="22"/>
                    </w:rPr>
                    <w:t>系统支持单个小程序账号绑定多个就诊人，并对相关就诊人进行添加、删除、修改等操作。</w:t>
                  </w:r>
                  <w:r>
                    <w:br w:type="textWrapping"/>
                  </w:r>
                  <w:r>
                    <w:rPr>
                      <w:color w:val="000000"/>
                      <w:sz w:val="22"/>
                    </w:rPr>
                    <w:t>用户建卡模块</w:t>
                  </w:r>
                  <w:r>
                    <w:br w:type="textWrapping"/>
                  </w:r>
                  <w:r>
                    <w:rPr>
                      <w:color w:val="000000"/>
                      <w:sz w:val="22"/>
                    </w:rPr>
                    <w:t>患者通过上传身份证照片OCR自动识别患者姓名、身份证号码等身份证信息，并输入个人手机号码，通过验证码注册建卡。</w:t>
                  </w:r>
                  <w:r>
                    <w:br w:type="textWrapping"/>
                  </w:r>
                  <w:r>
                    <w:rPr>
                      <w:color w:val="000000"/>
                      <w:sz w:val="22"/>
                    </w:rPr>
                    <w:t>用户绑卡模块</w:t>
                  </w:r>
                  <w:r>
                    <w:br w:type="textWrapping"/>
                  </w:r>
                  <w:r>
                    <w:rPr>
                      <w:color w:val="000000"/>
                      <w:sz w:val="22"/>
                    </w:rPr>
                    <w:t>通过系统查询院内HIS历史建档记录绑定患者就诊卡。</w:t>
                  </w:r>
                  <w:r>
                    <w:br w:type="textWrapping"/>
                  </w:r>
                  <w:r>
                    <w:rPr>
                      <w:color w:val="000000"/>
                      <w:sz w:val="22"/>
                    </w:rPr>
                    <w:t>就诊人切换</w:t>
                  </w:r>
                  <w:r>
                    <w:br w:type="textWrapping"/>
                  </w:r>
                  <w:r>
                    <w:rPr>
                      <w:color w:val="000000"/>
                      <w:sz w:val="22"/>
                    </w:rPr>
                    <w:t>可以在添加的就诊人之间进行切换当前就诊患者</w:t>
                  </w:r>
                  <w:r>
                    <w:br w:type="textWrapping"/>
                  </w:r>
                  <w:r>
                    <w:rPr>
                      <w:color w:val="000000"/>
                      <w:sz w:val="22"/>
                    </w:rPr>
                    <w:t>就诊二维码</w:t>
                  </w:r>
                  <w:r>
                    <w:br w:type="textWrapping"/>
                  </w:r>
                  <w:r>
                    <w:rPr>
                      <w:color w:val="000000"/>
                      <w:sz w:val="22"/>
                    </w:rPr>
                    <w:t>在就诊人列表中选择就诊人二维码，在使用时，向医生出示此就诊码，其中包含姓名、登记号、手机号、就诊卡号、身份证号等信息。</w:t>
                  </w:r>
                  <w:r>
                    <w:br w:type="textWrapping"/>
                  </w:r>
                  <w:r>
                    <w:rPr>
                      <w:color w:val="000000"/>
                      <w:sz w:val="22"/>
                    </w:rPr>
                    <w:t>微信头像昵称显示</w:t>
                  </w:r>
                  <w:r>
                    <w:br w:type="textWrapping"/>
                  </w:r>
                  <w:r>
                    <w:rPr>
                      <w:color w:val="000000"/>
                      <w:sz w:val="22"/>
                    </w:rPr>
                    <w:t>微信头像昵称显示：系统关联用户微信账号，并默认为当前就诊人，显示当前用户微信头像昵称</w:t>
                  </w:r>
                  <w:r>
                    <w:br w:type="textWrapping"/>
                  </w:r>
                  <w:r>
                    <w:rPr>
                      <w:color w:val="000000"/>
                      <w:sz w:val="22"/>
                    </w:rPr>
                    <w:t>关注医生</w:t>
                  </w:r>
                  <w:r>
                    <w:br w:type="textWrapping"/>
                  </w:r>
                  <w:r>
                    <w:rPr>
                      <w:color w:val="000000"/>
                      <w:sz w:val="22"/>
                    </w:rPr>
                    <w:t>通过进入医生主页可以关注问诊的医生</w:t>
                  </w:r>
                  <w:r>
                    <w:br w:type="textWrapping"/>
                  </w:r>
                  <w:r>
                    <w:rPr>
                      <w:color w:val="000000"/>
                      <w:sz w:val="22"/>
                    </w:rPr>
                    <w:t>地址填写</w:t>
                  </w:r>
                  <w:r>
                    <w:br w:type="textWrapping"/>
                  </w:r>
                  <w:r>
                    <w:rPr>
                      <w:color w:val="000000"/>
                      <w:sz w:val="22"/>
                    </w:rPr>
                    <w:t>医生下了电子处方医嘱之后如果患者需要进行物流配送，需要填写收货地址信息，以便进行药品配送。</w:t>
                  </w:r>
                  <w:r>
                    <w:br w:type="textWrapping"/>
                  </w:r>
                  <w:r>
                    <w:rPr>
                      <w:color w:val="000000"/>
                      <w:sz w:val="22"/>
                    </w:rPr>
                    <w:t>帮助中心</w:t>
                  </w:r>
                  <w:r>
                    <w:br w:type="textWrapping"/>
                  </w:r>
                  <w:r>
                    <w:rPr>
                      <w:color w:val="000000"/>
                      <w:sz w:val="22"/>
                    </w:rPr>
                    <w:t>支持解答患者使用小程序中的常见问题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742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问题反馈</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支持患者反馈互联网医院小程序的问题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743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物流信息</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系统支持查看药品配送的实时物流信息。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744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互联网医院医生端APP应用</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互联网医院医生APP通过建设端到端的院内移动办公系统，通过统一的平台规划，实现针对医生端移动化诊疗服务办公需求的全覆盖，从管理层到业务层到作业层提供全面的移动信息化解决方案。通过手机App实现医生在线问诊入口，实现医生工作互联网化，医生可以进行日常工作、查询患者临床资料等功能。协助医护人员随时随地的完成诸如线上问诊、住院查房等工作内容，进一步提高医患之间以及医院的沟通管理效率。</w:t>
                  </w:r>
                  <w:r>
                    <w:br w:type="textWrapping"/>
                  </w:r>
                  <w:r>
                    <w:rPr>
                      <w:color w:val="000000"/>
                      <w:sz w:val="22"/>
                    </w:rPr>
                    <w:t>具体功能包括：工号认证、人脸识别登录、手机号验证登录、待解决、会诊管理、抗生素管理、危急值管理、出诊信息、手术列表、科室选择、病人信息、诊断信息、医嘱信息、检验报告、检查报告、体温单、电子病历、多媒体病历、就诊记录、病人查询、诊断录入、医嘱录入、订单列表、医患图文交流、消息提醒、图文问诊服务限制、图文问诊诊疗建议、订单列表、医患高清视频、消息提醒、退费系统、视频服务限制、视频问诊诊疗建议、自助排班、我的小程序码、常用回复、电子签名设置等。</w:t>
                  </w:r>
                  <w:r>
                    <w:br w:type="textWrapping"/>
                  </w:r>
                  <w:r>
                    <w:rPr>
                      <w:color w:val="000000"/>
                      <w:sz w:val="22"/>
                    </w:rPr>
                    <w:t>登录认证</w:t>
                  </w:r>
                  <w:r>
                    <w:br w:type="textWrapping"/>
                  </w:r>
                  <w:r>
                    <w:rPr>
                      <w:color w:val="000000"/>
                      <w:sz w:val="22"/>
                    </w:rPr>
                    <w:t>工号认证：</w:t>
                  </w:r>
                  <w:r>
                    <w:br w:type="textWrapping"/>
                  </w:r>
                  <w:r>
                    <w:rPr>
                      <w:color w:val="000000"/>
                      <w:sz w:val="22"/>
                    </w:rPr>
                    <w:t>医生工号密码认证，与HIS信息同步。</w:t>
                  </w:r>
                  <w:r>
                    <w:br w:type="textWrapping"/>
                  </w:r>
                  <w:r>
                    <w:rPr>
                      <w:color w:val="000000"/>
                      <w:sz w:val="22"/>
                    </w:rPr>
                    <w:t>人脸识别登录：</w:t>
                  </w:r>
                  <w:r>
                    <w:br w:type="textWrapping"/>
                  </w:r>
                  <w:r>
                    <w:rPr>
                      <w:color w:val="000000"/>
                      <w:sz w:val="22"/>
                    </w:rPr>
                    <w:t>支持拍摄医生人脸图片上传，使用人脸识别免密登录。</w:t>
                  </w:r>
                  <w:r>
                    <w:br w:type="textWrapping"/>
                  </w:r>
                  <w:r>
                    <w:rPr>
                      <w:color w:val="000000"/>
                      <w:sz w:val="22"/>
                    </w:rPr>
                    <w:t>手机号验证登录：</w:t>
                  </w:r>
                  <w:r>
                    <w:br w:type="textWrapping"/>
                  </w:r>
                  <w:r>
                    <w:rPr>
                      <w:color w:val="000000"/>
                      <w:sz w:val="22"/>
                    </w:rPr>
                    <w:t>医护人员上传资质信息，审核认证后用手机验证登录。</w:t>
                  </w:r>
                  <w:r>
                    <w:br w:type="textWrapping"/>
                  </w:r>
                  <w:r>
                    <w:rPr>
                      <w:color w:val="000000"/>
                      <w:sz w:val="22"/>
                    </w:rPr>
                    <w:t>工作台</w:t>
                  </w:r>
                  <w:r>
                    <w:br w:type="textWrapping"/>
                  </w:r>
                  <w:r>
                    <w:rPr>
                      <w:color w:val="000000"/>
                      <w:sz w:val="22"/>
                    </w:rPr>
                    <w:t>支持有未接诊互联网就诊患者查询功能。</w:t>
                  </w:r>
                  <w:r>
                    <w:br w:type="textWrapping"/>
                  </w:r>
                  <w:r>
                    <w:rPr>
                      <w:color w:val="000000"/>
                      <w:sz w:val="22"/>
                    </w:rPr>
                    <w:t>会诊管理：</w:t>
                  </w:r>
                  <w:r>
                    <w:br w:type="textWrapping"/>
                  </w:r>
                  <w:r>
                    <w:rPr>
                      <w:color w:val="000000"/>
                      <w:sz w:val="22"/>
                    </w:rPr>
                    <w:t>支持医生查看本科室申请的会诊信息、需处理会诊信息、已完成会诊信息；包括患者基本信息、会诊类型、时间筛选、状态筛选、会诊信息、跳转患者资料等。</w:t>
                  </w:r>
                  <w:r>
                    <w:br w:type="textWrapping"/>
                  </w:r>
                  <w:r>
                    <w:rPr>
                      <w:color w:val="000000"/>
                      <w:sz w:val="22"/>
                    </w:rPr>
                    <w:t>抗生素管理：</w:t>
                  </w:r>
                  <w:r>
                    <w:br w:type="textWrapping"/>
                  </w:r>
                  <w:r>
                    <w:rPr>
                      <w:color w:val="000000"/>
                      <w:sz w:val="22"/>
                    </w:rPr>
                    <w:t>支持医生查看已处理、未处理抗菌药物申请信息；包括患者基本信息、时间筛选、状态筛选、抗生素信息、跳转患者资料等。</w:t>
                  </w:r>
                  <w:r>
                    <w:br w:type="textWrapping"/>
                  </w:r>
                  <w:r>
                    <w:rPr>
                      <w:color w:val="000000"/>
                      <w:sz w:val="22"/>
                    </w:rPr>
                    <w:t>危急值管理：</w:t>
                  </w:r>
                  <w:r>
                    <w:br w:type="textWrapping"/>
                  </w:r>
                  <w:r>
                    <w:rPr>
                      <w:color w:val="000000"/>
                      <w:sz w:val="22"/>
                    </w:rPr>
                    <w:t>支持医生查询检验危机值信息，可查看详细具体报告；包括危急值提醒、患者信息、在线审批、数据过多分页加载、时间筛选、状态筛选等。</w:t>
                  </w:r>
                  <w:r>
                    <w:br w:type="textWrapping"/>
                  </w:r>
                  <w:r>
                    <w:rPr>
                      <w:color w:val="000000"/>
                      <w:sz w:val="22"/>
                    </w:rPr>
                    <w:t>出诊信息：</w:t>
                  </w:r>
                  <w:r>
                    <w:br w:type="textWrapping"/>
                  </w:r>
                  <w:r>
                    <w:rPr>
                      <w:color w:val="000000"/>
                      <w:sz w:val="22"/>
                    </w:rPr>
                    <w:t>支持按日历进行检索查看排班及患者预约挂号信息。</w:t>
                  </w:r>
                  <w:r>
                    <w:br w:type="textWrapping"/>
                  </w:r>
                  <w:r>
                    <w:rPr>
                      <w:color w:val="000000"/>
                      <w:sz w:val="22"/>
                    </w:rPr>
                    <w:t>手术列表：</w:t>
                  </w:r>
                  <w:r>
                    <w:br w:type="textWrapping"/>
                  </w:r>
                  <w:r>
                    <w:rPr>
                      <w:color w:val="000000"/>
                      <w:sz w:val="22"/>
                    </w:rPr>
                    <w:t>支持医生查询本科室手术申请信息。</w:t>
                  </w:r>
                  <w:r>
                    <w:br w:type="textWrapping"/>
                  </w:r>
                  <w:r>
                    <w:rPr>
                      <w:color w:val="000000"/>
                      <w:sz w:val="22"/>
                    </w:rPr>
                    <w:t>移动查房</w:t>
                  </w:r>
                  <w:r>
                    <w:br w:type="textWrapping"/>
                  </w:r>
                  <w:r>
                    <w:rPr>
                      <w:color w:val="000000"/>
                      <w:sz w:val="22"/>
                    </w:rPr>
                    <w:t>科室选择：</w:t>
                  </w:r>
                  <w:r>
                    <w:br w:type="textWrapping"/>
                  </w:r>
                  <w:r>
                    <w:rPr>
                      <w:color w:val="000000"/>
                      <w:sz w:val="22"/>
                    </w:rPr>
                    <w:t>支持医生切换HIS对应科室查看科室患者信息。</w:t>
                  </w:r>
                  <w:r>
                    <w:br w:type="textWrapping"/>
                  </w:r>
                  <w:r>
                    <w:rPr>
                      <w:color w:val="000000"/>
                      <w:sz w:val="22"/>
                    </w:rPr>
                    <w:t>病人信息：</w:t>
                  </w:r>
                  <w:r>
                    <w:br w:type="textWrapping"/>
                  </w:r>
                  <w:r>
                    <w:rPr>
                      <w:color w:val="000000"/>
                      <w:sz w:val="22"/>
                    </w:rPr>
                    <w:t>支持医生查看医生权限下在院患者信息。</w:t>
                  </w:r>
                  <w:r>
                    <w:br w:type="textWrapping"/>
                  </w:r>
                  <w:r>
                    <w:rPr>
                      <w:color w:val="000000"/>
                      <w:sz w:val="22"/>
                    </w:rPr>
                    <w:t>诊断信息：</w:t>
                  </w:r>
                  <w:r>
                    <w:br w:type="textWrapping"/>
                  </w:r>
                  <w:r>
                    <w:rPr>
                      <w:color w:val="000000"/>
                      <w:sz w:val="22"/>
                    </w:rPr>
                    <w:t>支持医生查看患者的本次诊断信息、历史诊断信息</w:t>
                  </w:r>
                  <w:r>
                    <w:br w:type="textWrapping"/>
                  </w:r>
                  <w:r>
                    <w:rPr>
                      <w:color w:val="000000"/>
                      <w:sz w:val="22"/>
                    </w:rPr>
                    <w:t>医嘱信息：</w:t>
                  </w:r>
                  <w:r>
                    <w:br w:type="textWrapping"/>
                  </w:r>
                  <w:r>
                    <w:rPr>
                      <w:color w:val="000000"/>
                      <w:sz w:val="22"/>
                    </w:rPr>
                    <w:t>支持医生查看在院及门诊患者的已有医嘱信息。</w:t>
                  </w:r>
                  <w:r>
                    <w:br w:type="textWrapping"/>
                  </w:r>
                  <w:r>
                    <w:rPr>
                      <w:color w:val="000000"/>
                      <w:sz w:val="22"/>
                    </w:rPr>
                    <w:t>检验报告：</w:t>
                  </w:r>
                  <w:r>
                    <w:br w:type="textWrapping"/>
                  </w:r>
                  <w:r>
                    <w:rPr>
                      <w:color w:val="000000"/>
                      <w:sz w:val="22"/>
                    </w:rPr>
                    <w:t>支持医生查看患者的历史检验报告、单个检验项目历史曲线图、相同检验项目历史数据对比。</w:t>
                  </w:r>
                  <w:r>
                    <w:br w:type="textWrapping"/>
                  </w:r>
                  <w:r>
                    <w:rPr>
                      <w:color w:val="000000"/>
                      <w:sz w:val="22"/>
                    </w:rPr>
                    <w:t>检查报告：</w:t>
                  </w:r>
                  <w:r>
                    <w:br w:type="textWrapping"/>
                  </w:r>
                  <w:r>
                    <w:rPr>
                      <w:color w:val="000000"/>
                      <w:sz w:val="22"/>
                    </w:rPr>
                    <w:t>支持医生查看患者的历史检查报告、有条件情况下可查看pdf报告及影像报告。</w:t>
                  </w:r>
                  <w:r>
                    <w:br w:type="textWrapping"/>
                  </w:r>
                  <w:r>
                    <w:rPr>
                      <w:color w:val="000000"/>
                      <w:sz w:val="22"/>
                    </w:rPr>
                    <w:t>体温单：</w:t>
                  </w:r>
                  <w:r>
                    <w:br w:type="textWrapping"/>
                  </w:r>
                  <w:r>
                    <w:rPr>
                      <w:color w:val="000000"/>
                      <w:sz w:val="22"/>
                    </w:rPr>
                    <w:t>支持医生查看在院患者体温单信息。</w:t>
                  </w:r>
                  <w:r>
                    <w:br w:type="textWrapping"/>
                  </w:r>
                  <w:r>
                    <w:rPr>
                      <w:color w:val="000000"/>
                      <w:sz w:val="22"/>
                    </w:rPr>
                    <w:t>电子病历：</w:t>
                  </w:r>
                  <w:r>
                    <w:br w:type="textWrapping"/>
                  </w:r>
                  <w:r>
                    <w:rPr>
                      <w:color w:val="000000"/>
                      <w:sz w:val="22"/>
                    </w:rPr>
                    <w:t>支持医生查看在院患者电子病历信息。</w:t>
                  </w:r>
                  <w:r>
                    <w:br w:type="textWrapping"/>
                  </w:r>
                  <w:r>
                    <w:rPr>
                      <w:color w:val="000000"/>
                      <w:sz w:val="22"/>
                    </w:rPr>
                    <w:t>多媒体病历：</w:t>
                  </w:r>
                  <w:r>
                    <w:br w:type="textWrapping"/>
                  </w:r>
                  <w:r>
                    <w:rPr>
                      <w:color w:val="000000"/>
                      <w:sz w:val="22"/>
                    </w:rPr>
                    <w:t>支持医生查房过程中拍照及语音录音。</w:t>
                  </w:r>
                  <w:r>
                    <w:br w:type="textWrapping"/>
                  </w:r>
                  <w:r>
                    <w:rPr>
                      <w:color w:val="000000"/>
                      <w:sz w:val="22"/>
                    </w:rPr>
                    <w:t>就诊记录：</w:t>
                  </w:r>
                  <w:r>
                    <w:br w:type="textWrapping"/>
                  </w:r>
                  <w:r>
                    <w:rPr>
                      <w:color w:val="000000"/>
                      <w:sz w:val="22"/>
                    </w:rPr>
                    <w:t>支持医生查看患者历史就诊记录。</w:t>
                  </w:r>
                  <w:r>
                    <w:br w:type="textWrapping"/>
                  </w:r>
                  <w:r>
                    <w:rPr>
                      <w:color w:val="000000"/>
                      <w:sz w:val="22"/>
                    </w:rPr>
                    <w:t>病人查询：</w:t>
                  </w:r>
                  <w:r>
                    <w:br w:type="textWrapping"/>
                  </w:r>
                  <w:r>
                    <w:rPr>
                      <w:color w:val="000000"/>
                      <w:sz w:val="22"/>
                    </w:rPr>
                    <w:t>支持医生查询在院患者按名字、登记号进行索引查询相关信息。</w:t>
                  </w:r>
                  <w:r>
                    <w:br w:type="textWrapping"/>
                  </w:r>
                  <w:r>
                    <w:rPr>
                      <w:color w:val="000000"/>
                      <w:sz w:val="22"/>
                    </w:rPr>
                    <w:t>诊断录入：</w:t>
                  </w:r>
                  <w:r>
                    <w:br w:type="textWrapping"/>
                  </w:r>
                  <w:r>
                    <w:rPr>
                      <w:color w:val="000000"/>
                      <w:sz w:val="22"/>
                    </w:rPr>
                    <w:t>支持医生对住院及门诊患者录入诊断、修改诊断备注、撤销诊断。</w:t>
                  </w:r>
                  <w:r>
                    <w:br w:type="textWrapping"/>
                  </w:r>
                  <w:r>
                    <w:rPr>
                      <w:color w:val="000000"/>
                      <w:sz w:val="22"/>
                    </w:rPr>
                    <w:t>医嘱录入：</w:t>
                  </w:r>
                  <w:r>
                    <w:br w:type="textWrapping"/>
                  </w:r>
                  <w:r>
                    <w:rPr>
                      <w:color w:val="000000"/>
                      <w:sz w:val="22"/>
                    </w:rPr>
                    <w:t>支持医生对住院及门诊患者录入医嘱。</w:t>
                  </w:r>
                  <w:r>
                    <w:br w:type="textWrapping"/>
                  </w:r>
                  <w:r>
                    <w:rPr>
                      <w:color w:val="000000"/>
                      <w:sz w:val="22"/>
                    </w:rPr>
                    <w:t>图文问诊</w:t>
                  </w:r>
                  <w:r>
                    <w:br w:type="textWrapping"/>
                  </w:r>
                  <w:r>
                    <w:rPr>
                      <w:color w:val="000000"/>
                      <w:sz w:val="22"/>
                    </w:rPr>
                    <w:t>订单列表：</w:t>
                  </w:r>
                  <w:r>
                    <w:br w:type="textWrapping"/>
                  </w:r>
                  <w:r>
                    <w:rPr>
                      <w:color w:val="000000"/>
                      <w:sz w:val="22"/>
                    </w:rPr>
                    <w:t>包括患者基本信息、患者病历信息、订单状态等。</w:t>
                  </w:r>
                  <w:r>
                    <w:br w:type="textWrapping"/>
                  </w:r>
                  <w:r>
                    <w:rPr>
                      <w:color w:val="000000"/>
                      <w:sz w:val="22"/>
                    </w:rPr>
                    <w:t>医患图文交流：</w:t>
                  </w:r>
                  <w:r>
                    <w:br w:type="textWrapping"/>
                  </w:r>
                  <w:r>
                    <w:rPr>
                      <w:color w:val="000000"/>
                      <w:sz w:val="22"/>
                    </w:rPr>
                    <w:t>支持图片上传聊天、文字聊天、语音文字转换、查看患者电子病历、在线录入处方、诊疗建议录入。</w:t>
                  </w:r>
                  <w:r>
                    <w:br w:type="textWrapping"/>
                  </w:r>
                  <w:r>
                    <w:rPr>
                      <w:color w:val="000000"/>
                      <w:sz w:val="22"/>
                    </w:rPr>
                    <w:t>消息提醒：</w:t>
                  </w:r>
                  <w:r>
                    <w:br w:type="textWrapping"/>
                  </w:r>
                  <w:r>
                    <w:rPr>
                      <w:color w:val="000000"/>
                      <w:sz w:val="22"/>
                    </w:rPr>
                    <w:t>包含咨询提醒、聊天消息提醒等。</w:t>
                  </w:r>
                  <w:r>
                    <w:br w:type="textWrapping"/>
                  </w:r>
                  <w:r>
                    <w:rPr>
                      <w:color w:val="000000"/>
                      <w:sz w:val="22"/>
                    </w:rPr>
                    <w:t>图文问诊服务限制：</w:t>
                  </w:r>
                  <w:r>
                    <w:br w:type="textWrapping"/>
                  </w:r>
                  <w:r>
                    <w:rPr>
                      <w:color w:val="000000"/>
                      <w:sz w:val="22"/>
                    </w:rPr>
                    <w:t>医生可对相关问诊服务进行限制，如问诊时间，费用等。</w:t>
                  </w:r>
                  <w:r>
                    <w:br w:type="textWrapping"/>
                  </w:r>
                  <w:r>
                    <w:rPr>
                      <w:color w:val="000000"/>
                      <w:sz w:val="22"/>
                    </w:rPr>
                    <w:t>诊疗建议：</w:t>
                  </w:r>
                  <w:r>
                    <w:br w:type="textWrapping"/>
                  </w:r>
                  <w:r>
                    <w:rPr>
                      <w:color w:val="000000"/>
                      <w:sz w:val="22"/>
                    </w:rPr>
                    <w:t>支持医生针对患者线上问诊进行诊疗建议，包括医嘱处方，检验检查等。</w:t>
                  </w:r>
                  <w:r>
                    <w:br w:type="textWrapping"/>
                  </w:r>
                  <w:r>
                    <w:rPr>
                      <w:color w:val="000000"/>
                      <w:sz w:val="22"/>
                    </w:rPr>
                    <w:t>视频问诊</w:t>
                  </w:r>
                  <w:r>
                    <w:br w:type="textWrapping"/>
                  </w:r>
                  <w:r>
                    <w:rPr>
                      <w:color w:val="000000"/>
                      <w:sz w:val="22"/>
                    </w:rPr>
                    <w:t>订单列表：</w:t>
                  </w:r>
                  <w:r>
                    <w:br w:type="textWrapping"/>
                  </w:r>
                  <w:r>
                    <w:rPr>
                      <w:color w:val="000000"/>
                      <w:sz w:val="22"/>
                    </w:rPr>
                    <w:t>包括患者基本信息、患者病历信息、订单状态等。</w:t>
                  </w:r>
                  <w:r>
                    <w:br w:type="textWrapping"/>
                  </w:r>
                  <w:r>
                    <w:rPr>
                      <w:color w:val="000000"/>
                      <w:sz w:val="22"/>
                    </w:rPr>
                    <w:t>医患高清视频：</w:t>
                  </w:r>
                  <w:r>
                    <w:br w:type="textWrapping"/>
                  </w:r>
                  <w:r>
                    <w:rPr>
                      <w:color w:val="000000"/>
                      <w:sz w:val="22"/>
                    </w:rPr>
                    <w:t>医生在预约时间邀请患者加入高清视频，通过音视频进行交流、医生可查看患者电子病历在线录入处方、诊疗建议录入等。</w:t>
                  </w:r>
                  <w:r>
                    <w:br w:type="textWrapping"/>
                  </w:r>
                  <w:r>
                    <w:rPr>
                      <w:color w:val="000000"/>
                      <w:sz w:val="22"/>
                    </w:rPr>
                    <w:t>消息提醒：</w:t>
                  </w:r>
                  <w:r>
                    <w:br w:type="textWrapping"/>
                  </w:r>
                  <w:r>
                    <w:rPr>
                      <w:color w:val="000000"/>
                      <w:sz w:val="22"/>
                    </w:rPr>
                    <w:t>包括新订单提醒、服务开始提醒、服务结束提醒、填写诊疗建议提醒等。</w:t>
                  </w:r>
                  <w:r>
                    <w:br w:type="textWrapping"/>
                  </w:r>
                  <w:r>
                    <w:rPr>
                      <w:color w:val="000000"/>
                      <w:sz w:val="22"/>
                    </w:rPr>
                    <w:t>退费系统：</w:t>
                  </w:r>
                  <w:r>
                    <w:br w:type="textWrapping"/>
                  </w:r>
                  <w:r>
                    <w:rPr>
                      <w:color w:val="000000"/>
                      <w:sz w:val="22"/>
                    </w:rPr>
                    <w:t>医生在结束服务前可以为患者退费。</w:t>
                  </w:r>
                  <w:r>
                    <w:br w:type="textWrapping"/>
                  </w:r>
                  <w:r>
                    <w:rPr>
                      <w:color w:val="000000"/>
                      <w:sz w:val="22"/>
                    </w:rPr>
                    <w:t>视频服务限制：</w:t>
                  </w:r>
                  <w:r>
                    <w:br w:type="textWrapping"/>
                  </w:r>
                  <w:r>
                    <w:rPr>
                      <w:color w:val="000000"/>
                      <w:sz w:val="22"/>
                    </w:rPr>
                    <w:t>医生可对相关视频问诊服务进行限制，如问诊时间，费用等。</w:t>
                  </w:r>
                  <w:r>
                    <w:br w:type="textWrapping"/>
                  </w:r>
                  <w:r>
                    <w:rPr>
                      <w:color w:val="000000"/>
                      <w:sz w:val="22"/>
                    </w:rPr>
                    <w:t>诊疗建议：</w:t>
                  </w:r>
                  <w:r>
                    <w:br w:type="textWrapping"/>
                  </w:r>
                  <w:r>
                    <w:rPr>
                      <w:color w:val="000000"/>
                      <w:sz w:val="22"/>
                    </w:rPr>
                    <w:t>支持医生针对患者线上问诊进行诊疗建议，包括医嘱处方，检验检查等。</w:t>
                  </w:r>
                  <w:r>
                    <w:br w:type="textWrapping"/>
                  </w:r>
                  <w:r>
                    <w:rPr>
                      <w:color w:val="000000"/>
                      <w:sz w:val="22"/>
                    </w:rPr>
                    <w:t>患者中心</w:t>
                  </w:r>
                  <w:r>
                    <w:br w:type="textWrapping"/>
                  </w:r>
                  <w:r>
                    <w:rPr>
                      <w:color w:val="000000"/>
                      <w:sz w:val="22"/>
                    </w:rPr>
                    <w:t>门诊患者：</w:t>
                  </w:r>
                  <w:r>
                    <w:br w:type="textWrapping"/>
                  </w:r>
                  <w:r>
                    <w:rPr>
                      <w:color w:val="000000"/>
                      <w:sz w:val="22"/>
                    </w:rPr>
                    <w:t>挂号患者支持时间筛选。</w:t>
                  </w:r>
                  <w:r>
                    <w:br w:type="textWrapping"/>
                  </w:r>
                  <w:r>
                    <w:rPr>
                      <w:color w:val="000000"/>
                      <w:sz w:val="22"/>
                    </w:rPr>
                    <w:t>住院患者：</w:t>
                  </w:r>
                  <w:r>
                    <w:br w:type="textWrapping"/>
                  </w:r>
                  <w:r>
                    <w:rPr>
                      <w:color w:val="000000"/>
                      <w:sz w:val="22"/>
                    </w:rPr>
                    <w:t>科室切换、患者分页加载、支持姓名搜索、支持住院号搜索、支持查看患者资料、支持医嘱录入(检查、检验)</w:t>
                  </w:r>
                  <w:r>
                    <w:br w:type="textWrapping"/>
                  </w:r>
                  <w:r>
                    <w:rPr>
                      <w:color w:val="000000"/>
                      <w:sz w:val="22"/>
                    </w:rPr>
                    <w:t>个人中心</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745</w:t>
                  </w:r>
                </w:p>
              </w:tc>
              <w:tc>
                <w:tcPr>
                  <w:tcW w:w="46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移动公众号服务平台(含网约护士)</w:t>
                  </w:r>
                </w:p>
              </w:tc>
              <w:tc>
                <w:tcPr>
                  <w:tcW w:w="85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身份验证</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登录授权</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通过登录开放接口获取用户登录凭证，进而换取用户登录态信息，包括用户身份唯一标识openid以及该次登录的会话秘钥；授权用户微信身份(头像、昵称)。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746</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CR就诊实名识别</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系统支持通过上传患者身份证照片OCR自动识别患者姓名、身份证号码等身份证信息。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747</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绑定手机/建档</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授权用户验证患者身份证信息后，通过手机注册发送验证码绑定患者。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748</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人脸核身</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参照中华人民共和国公安部“互联网+”可信身份认证服务平台标准，依托腾讯公司及微信的生物识别技术，建立微信“实名实人信息校验能力”,即通过人脸识别+公安比对，校验用户实名信息和本人操作(简称微信人脸核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749</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绑定就诊卡</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通过系统查询院内HIS历史建档记录绑定患者就诊卡。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750</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医院+互联网服务</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导诊：</w:t>
                  </w:r>
                  <w:r>
                    <w:br w:type="textWrapping"/>
                  </w:r>
                  <w:r>
                    <w:rPr>
                      <w:color w:val="000000"/>
                      <w:sz w:val="22"/>
                    </w:rPr>
                    <w:t>以图文列表的形式展示人体部位，选择相应部位及症状，提示参考病因推荐就诊科室。</w:t>
                  </w:r>
                  <w:r>
                    <w:br w:type="textWrapping"/>
                  </w:r>
                  <w:r>
                    <w:rPr>
                      <w:color w:val="000000"/>
                      <w:sz w:val="22"/>
                    </w:rPr>
                    <w:t>当日挂号：患者可选择当天开放的号源，根据自身病情选择对应科室，根据不同日期或医生并选择就诊时间段进行预约。</w:t>
                  </w:r>
                  <w:r>
                    <w:br w:type="textWrapping"/>
                  </w:r>
                  <w:r>
                    <w:rPr>
                      <w:color w:val="000000"/>
                      <w:sz w:val="22"/>
                    </w:rPr>
                    <w:t>预约挂号：患者可预约选择一定期限内开放的号源，根据自身病情选择对应科室，根据不同日期或医生并选择就诊时间段进行预约。</w:t>
                  </w:r>
                  <w:r>
                    <w:br w:type="textWrapping"/>
                  </w:r>
                  <w:r>
                    <w:rPr>
                      <w:color w:val="000000"/>
                      <w:sz w:val="22"/>
                    </w:rPr>
                    <w:t>在线缴费：包括待缴费提醒通知，待缴费查询，在线支付，缴费成功通知，预充值缴费等；提供患者预约挂号费支付以及诊间支付功能，为患者省去排队等候时间。</w:t>
                  </w:r>
                  <w:r>
                    <w:br w:type="textWrapping"/>
                  </w:r>
                  <w:r>
                    <w:rPr>
                      <w:color w:val="000000"/>
                      <w:sz w:val="22"/>
                    </w:rPr>
                    <w:t>扫码支付：扫一扫单据上的支付二维码进行支付。</w:t>
                  </w:r>
                  <w:r>
                    <w:br w:type="textWrapping"/>
                  </w:r>
                  <w:r>
                    <w:rPr>
                      <w:color w:val="000000"/>
                      <w:sz w:val="22"/>
                    </w:rPr>
                    <w:t>扫码报到：患者到院后通过扫码签到，进入医院排队叫号系统，提高就诊效率。</w:t>
                  </w:r>
                  <w:r>
                    <w:br w:type="textWrapping"/>
                  </w:r>
                  <w:r>
                    <w:rPr>
                      <w:color w:val="000000"/>
                      <w:sz w:val="22"/>
                    </w:rPr>
                    <w:t>排队候诊：包括门诊候诊号查询，排队人数查询，排队近号提醒等。</w:t>
                  </w:r>
                  <w:r>
                    <w:br w:type="textWrapping"/>
                  </w:r>
                  <w:r>
                    <w:rPr>
                      <w:color w:val="000000"/>
                      <w:sz w:val="22"/>
                    </w:rPr>
                    <w:t>报告出具提醒：当有新的报告单出结果时，通过微信自动提醒患者。</w:t>
                  </w:r>
                  <w:r>
                    <w:br w:type="textWrapping"/>
                  </w:r>
                  <w:r>
                    <w:rPr>
                      <w:color w:val="000000"/>
                      <w:sz w:val="22"/>
                    </w:rPr>
                    <w:t>报告信息查询：报告单查询：提供查询患者历史报告单的信息列表；报告单信息含报告单号、检查名称、检查日期、患者信息等。</w:t>
                  </w:r>
                  <w:r>
                    <w:br w:type="textWrapping"/>
                  </w:r>
                  <w:r>
                    <w:rPr>
                      <w:color w:val="000000"/>
                      <w:sz w:val="22"/>
                    </w:rPr>
                    <w:t>日清单查询：针对住院患者，提供日清单费用查询。</w:t>
                  </w:r>
                  <w:r>
                    <w:br w:type="textWrapping"/>
                  </w:r>
                  <w:r>
                    <w:rPr>
                      <w:color w:val="000000"/>
                      <w:sz w:val="22"/>
                    </w:rPr>
                    <w:t>就诊信息查看：</w:t>
                  </w:r>
                  <w:r>
                    <w:br w:type="textWrapping"/>
                  </w:r>
                  <w:r>
                    <w:rPr>
                      <w:color w:val="000000"/>
                      <w:sz w:val="22"/>
                    </w:rPr>
                    <w:t>诊断记录：查看诊断记录。</w:t>
                  </w:r>
                  <w:r>
                    <w:br w:type="textWrapping"/>
                  </w:r>
                  <w:r>
                    <w:rPr>
                      <w:color w:val="000000"/>
                      <w:sz w:val="22"/>
                    </w:rPr>
                    <w:t>处方记录：查看处方记录。</w:t>
                  </w:r>
                  <w:r>
                    <w:br w:type="textWrapping"/>
                  </w:r>
                  <w:r>
                    <w:rPr>
                      <w:color w:val="000000"/>
                      <w:sz w:val="22"/>
                    </w:rPr>
                    <w:t>住院预缴金：住院用户预交金充值</w:t>
                  </w:r>
                  <w:r>
                    <w:br w:type="textWrapping"/>
                  </w:r>
                  <w:r>
                    <w:rPr>
                      <w:color w:val="000000"/>
                      <w:sz w:val="22"/>
                    </w:rPr>
                    <w:t>满意度评价：方便用户对医院的专业度，服务态度，整体服务，就诊环境等进行综合评价</w:t>
                  </w:r>
                  <w:r>
                    <w:br w:type="textWrapping"/>
                  </w:r>
                  <w:r>
                    <w:rPr>
                      <w:color w:val="000000"/>
                      <w:sz w:val="22"/>
                    </w:rPr>
                    <w:t>消息通知：包括挂号、就诊、视频、医生回复、退款等消息通知提醒</w:t>
                  </w:r>
                  <w:r>
                    <w:br w:type="textWrapping"/>
                  </w:r>
                  <w:r>
                    <w:rPr>
                      <w:color w:val="000000"/>
                      <w:sz w:val="22"/>
                    </w:rPr>
                    <w:t>个人中心：</w:t>
                  </w:r>
                  <w:r>
                    <w:br w:type="textWrapping"/>
                  </w:r>
                  <w:r>
                    <w:rPr>
                      <w:color w:val="000000"/>
                      <w:sz w:val="22"/>
                    </w:rPr>
                    <w:t>就诊人管理：支持患者端实现添加非本人的“就诊人”信息，可选择默认就诊人，实现对就诊人的增删改查操作。</w:t>
                  </w:r>
                  <w:r>
                    <w:br w:type="textWrapping"/>
                  </w:r>
                  <w:r>
                    <w:rPr>
                      <w:color w:val="000000"/>
                      <w:sz w:val="22"/>
                    </w:rPr>
                    <w:t>用户建卡模块：患者通过上传身份证照片OCR自动识别患者姓名、身份证号码等身份证信息，并输入个人手机号码，通过验证码注册建卡。</w:t>
                  </w:r>
                  <w:r>
                    <w:br w:type="textWrapping"/>
                  </w:r>
                  <w:r>
                    <w:rPr>
                      <w:color w:val="000000"/>
                      <w:sz w:val="22"/>
                    </w:rPr>
                    <w:t>用户绑卡模块：</w:t>
                  </w:r>
                  <w:r>
                    <w:br w:type="textWrapping"/>
                  </w:r>
                  <w:r>
                    <w:rPr>
                      <w:color w:val="000000"/>
                      <w:sz w:val="22"/>
                    </w:rPr>
                    <w:t>通过系统查询院内HIS历史建档记录绑定患者就诊卡。</w:t>
                  </w:r>
                  <w:r>
                    <w:br w:type="textWrapping"/>
                  </w:r>
                  <w:r>
                    <w:rPr>
                      <w:color w:val="000000"/>
                      <w:sz w:val="22"/>
                    </w:rPr>
                    <w:t>就诊人切换：</w:t>
                  </w:r>
                  <w:r>
                    <w:br w:type="textWrapping"/>
                  </w:r>
                  <w:r>
                    <w:rPr>
                      <w:color w:val="000000"/>
                      <w:sz w:val="22"/>
                    </w:rPr>
                    <w:t>可以在添加的就诊人之间进行切换当前就诊患者</w:t>
                  </w:r>
                  <w:r>
                    <w:br w:type="textWrapping"/>
                  </w:r>
                  <w:r>
                    <w:rPr>
                      <w:color w:val="000000"/>
                      <w:sz w:val="22"/>
                    </w:rPr>
                    <w:t>就诊二维码：</w:t>
                  </w:r>
                  <w:r>
                    <w:br w:type="textWrapping"/>
                  </w:r>
                  <w:r>
                    <w:rPr>
                      <w:color w:val="000000"/>
                      <w:sz w:val="22"/>
                    </w:rPr>
                    <w:t>在就诊人列表中选择就诊人二维码，在使用时，向医生出示此就诊码，其中包含姓名、登记号、手机号、就诊卡号、身份证号等信息。</w:t>
                  </w:r>
                  <w:r>
                    <w:br w:type="textWrapping"/>
                  </w:r>
                  <w:r>
                    <w:rPr>
                      <w:color w:val="000000"/>
                      <w:sz w:val="22"/>
                    </w:rPr>
                    <w:t>关注医生：</w:t>
                  </w:r>
                  <w:r>
                    <w:br w:type="textWrapping"/>
                  </w:r>
                  <w:r>
                    <w:rPr>
                      <w:color w:val="000000"/>
                      <w:sz w:val="22"/>
                    </w:rPr>
                    <w:t>在我的关注里面可以对当前就诊医生进行关注，后续复诊咨询可以直接查找该医生。</w:t>
                  </w:r>
                  <w:r>
                    <w:br w:type="textWrapping"/>
                  </w:r>
                  <w:r>
                    <w:rPr>
                      <w:color w:val="000000"/>
                      <w:sz w:val="22"/>
                    </w:rPr>
                    <w:t>微信头像昵称显示：</w:t>
                  </w:r>
                  <w:r>
                    <w:br w:type="textWrapping"/>
                  </w:r>
                  <w:r>
                    <w:rPr>
                      <w:color w:val="000000"/>
                      <w:sz w:val="22"/>
                    </w:rPr>
                    <w:t>系统关联用户微信账号，并默认为当前就诊人，显示当前用户微信头像昵称。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751</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信息维护</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医院信息维护：使用管理员账户登录可对医院信息进行维护</w:t>
                  </w:r>
                  <w:r>
                    <w:br w:type="textWrapping"/>
                  </w:r>
                  <w:r>
                    <w:rPr>
                      <w:color w:val="000000"/>
                      <w:sz w:val="22"/>
                    </w:rPr>
                    <w:t>科室信息维护：使用管理员账户登录可对科室信息进行维护</w:t>
                  </w:r>
                  <w:r>
                    <w:br w:type="textWrapping"/>
                  </w:r>
                  <w:r>
                    <w:rPr>
                      <w:color w:val="000000"/>
                      <w:sz w:val="22"/>
                    </w:rPr>
                    <w:t>医生信息维护：使用管理员账户登录可对医生信息进行维护</w:t>
                  </w:r>
                  <w:r>
                    <w:br w:type="textWrapping"/>
                  </w:r>
                  <w:r>
                    <w:rPr>
                      <w:color w:val="000000"/>
                      <w:sz w:val="22"/>
                    </w:rPr>
                    <w:t>模板消息管理：使用管理员账户登录可对消息模板进行维护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752</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诊间结算系统</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补录费用：支持医护人员给患者补录费用，如做检验、检查需要的导管，材料等。</w:t>
                  </w:r>
                  <w:r>
                    <w:br w:type="textWrapping"/>
                  </w:r>
                  <w:r>
                    <w:rPr>
                      <w:color w:val="000000"/>
                      <w:sz w:val="22"/>
                    </w:rPr>
                    <w:t>诊室结算：实现医生在诊室直接完成患者的结算，患者可选择微信、支付宝等支付方式。</w:t>
                  </w:r>
                  <w:r>
                    <w:br w:type="textWrapping"/>
                  </w:r>
                  <w:r>
                    <w:rPr>
                      <w:color w:val="000000"/>
                      <w:sz w:val="22"/>
                    </w:rPr>
                    <w:t>药房结算：实现医生在药房窗口直接完成患者的结算，患者可选择微信、支付宝等支付方式。</w:t>
                  </w:r>
                  <w:r>
                    <w:br w:type="textWrapping"/>
                  </w:r>
                  <w:r>
                    <w:rPr>
                      <w:color w:val="000000"/>
                      <w:sz w:val="22"/>
                    </w:rPr>
                    <w:t>医技科室：实现医生在检查、检科室直接完成患者的结算，患者可选择微信、支付宝等支付方式。</w:t>
                  </w:r>
                  <w:r>
                    <w:br w:type="textWrapping"/>
                  </w:r>
                  <w:r>
                    <w:rPr>
                      <w:color w:val="000000"/>
                      <w:sz w:val="22"/>
                    </w:rPr>
                    <w:t>发票集中打印：提供对患者在诊间缴了费，或医保患者结算时先自费垫付但没有打印发票的费用进行医保报销且打印发票。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753</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床旁结算系统</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中途结算：可以按某段时间或某些医嘱等规则拆分出一个账单进行结算，结算时可以选择结算病人未结算的押金，对病人多退或少补的金额可以选择一种或多种支付方式进行结算，并打印中途结算发票，病人不出院，患者后续就诊产生的费用自动计到未结算的账单上。支持医保病人结算。</w:t>
                  </w:r>
                  <w:r>
                    <w:br w:type="textWrapping"/>
                  </w:r>
                  <w:r>
                    <w:rPr>
                      <w:color w:val="000000"/>
                      <w:sz w:val="22"/>
                    </w:rPr>
                    <w:t>住院费用核查:护士在办理财务结算时，会进行费用核查，以防止漏费和不合规收费的管控。对费用有问题的医嘱或不合规的收费进行把控、调整、费用补查，减少因费用问题引起的不必要的医患矛盾。</w:t>
                  </w:r>
                  <w:r>
                    <w:br w:type="textWrapping"/>
                  </w:r>
                  <w:r>
                    <w:rPr>
                      <w:color w:val="000000"/>
                      <w:sz w:val="22"/>
                    </w:rPr>
                    <w:t>取消中途结算:针对做中途结算拆分出来的账单，提供撤销功能，即合并账单。</w:t>
                  </w:r>
                  <w:r>
                    <w:br w:type="textWrapping"/>
                  </w:r>
                  <w:r>
                    <w:rPr>
                      <w:color w:val="000000"/>
                      <w:sz w:val="22"/>
                    </w:rPr>
                    <w:t>出院结算::核对病人账单费用总额，自付金额和押金总额无误后，办理病人出院，可以对病人多退或少补选择一种或多种支付方式进行结算(支持患者通过线上线下等多种支付方式)。支持医保病人结算。</w:t>
                  </w:r>
                  <w:r>
                    <w:br w:type="textWrapping"/>
                  </w:r>
                  <w:r>
                    <w:rPr>
                      <w:color w:val="000000"/>
                      <w:sz w:val="22"/>
                    </w:rPr>
                    <w:t>取消结算:如果病人出院结算后发现费用有错误，护士可以取消病人出院结算，取消结算后，押金回到未结算的状态，然后医生对错误的医嘱调整后，护士员进行账单，重新计算病人的费用总额，自付费用等，护士确认费用无误后，重新办理病人出院结算，重新打印发票并打印费用明细单给病人。</w:t>
                  </w:r>
                  <w:r>
                    <w:br w:type="textWrapping"/>
                  </w:r>
                  <w:r>
                    <w:rPr>
                      <w:color w:val="000000"/>
                      <w:sz w:val="22"/>
                    </w:rPr>
                    <w:t>打印费用清单:可以查询并打印某个账单的医嘱费用明细，各分类的医嘱费用总额。</w:t>
                  </w:r>
                  <w:r>
                    <w:br w:type="textWrapping"/>
                  </w:r>
                  <w:r>
                    <w:rPr>
                      <w:color w:val="000000"/>
                      <w:sz w:val="22"/>
                    </w:rPr>
                    <w:t>发票集中打印:为收费员提供对患者在病区、自助机、APP上缴了费，但没有打印发票的费用进行打印发票功能。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754</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院内AR导航系统</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就诊全流程融合:挂号、来院、缴费、取报告全流程覆盖。通过消息触达、线下引导串联用户动线。</w:t>
                  </w:r>
                  <w:r>
                    <w:br w:type="textWrapping"/>
                  </w:r>
                  <w:r>
                    <w:rPr>
                      <w:color w:val="000000"/>
                      <w:sz w:val="22"/>
                    </w:rPr>
                    <w:t>复杂场景定位能力:支持室外大空间定位能力。可支持室内+院区(封闭道路)实景AR导航。</w:t>
                  </w:r>
                  <w:r>
                    <w:br w:type="textWrapping"/>
                  </w:r>
                  <w:r>
                    <w:rPr>
                      <w:color w:val="000000"/>
                      <w:sz w:val="22"/>
                    </w:rPr>
                    <w:t>多端应用:支持支付宝、微信主流应用平台接入应用。3D建模平面图路径规划，搭配线下导航大屏，提供完整用户体验。</w:t>
                  </w:r>
                  <w:r>
                    <w:br w:type="textWrapping"/>
                  </w:r>
                  <w:r>
                    <w:rPr>
                      <w:color w:val="000000"/>
                      <w:sz w:val="22"/>
                    </w:rPr>
                    <w:t>导航配置后台:易用强大的配置后台，提供院区管理、锚点管理、路线管理等功能。实时配置实时生效。3D建模能力支持补丁模式，局部变动无需全部重采。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755</w:t>
                  </w:r>
                </w:p>
              </w:tc>
              <w:tc>
                <w:tcPr>
                  <w:tcW w:w="464" w:type="dxa"/>
                  <w:vMerge w:val="continue"/>
                  <w:tcBorders>
                    <w:top w:val="nil"/>
                    <w:left w:val="nil"/>
                    <w:bottom w:val="single" w:color="000000" w:sz="4" w:space="0"/>
                    <w:right w:val="single" w:color="000000" w:sz="4" w:space="0"/>
                  </w:tcBorders>
                </w:tcPr>
                <w:p/>
              </w:tc>
              <w:tc>
                <w:tcPr>
                  <w:tcW w:w="857" w:type="dxa"/>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 xml:space="preserve"> 医护系统</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移动医生系统：为医生提供移动查房时，直接调阅的病人的本次或历史就诊的住院病历、检验报告、检查报告、生命体征等信息，支持直接下达医嘱等工作实时记录，方便医生分析病人情况，修订治疗方案。</w:t>
                  </w:r>
                  <w:r>
                    <w:br w:type="textWrapping"/>
                  </w:r>
                  <w:r>
                    <w:rPr>
                      <w:color w:val="000000"/>
                      <w:sz w:val="22"/>
                    </w:rPr>
                    <w:t>具体功能包括：登录管理、会诊管理、抗生素管理、危急值管理、住院科室、病人信息、查看病人基本信息、诊断信息、查看病人诊断信息、诊断录入、查看病人医嘱信息、检验报告、查询检验列表、查询检验结果详情、查询单项检验结果折线图、历次结果对比、检查报告、查询检查列表、查看检查结果详情、查看检查报告。</w:t>
                  </w:r>
                  <w:r>
                    <w:br w:type="textWrapping"/>
                  </w:r>
                  <w:r>
                    <w:rPr>
                      <w:color w:val="000000"/>
                      <w:sz w:val="22"/>
                    </w:rPr>
                    <w:t>登录管理：支持医生工号登录，验证在his中进行。验证通过后进入移动查房系统，根据his中账号授权情况可进行相关操作。</w:t>
                  </w:r>
                  <w:r>
                    <w:br w:type="textWrapping"/>
                  </w:r>
                  <w:r>
                    <w:rPr>
                      <w:color w:val="000000"/>
                      <w:sz w:val="22"/>
                    </w:rPr>
                    <w:t>会诊管理：通过会诊管理，可查询院内需要医生会诊的信息查询，实现医生在线查询需处理会诊与已处理会诊列表，且支持用户在线对需会诊患者进行下诊断，填写会诊意见等操作。若为抗生素会诊则支持医院在计费后进行抗生素审核操作。旨在帮助医生随时随地在线查看并处理会诊信息，具体功能包括：会诊列表查询，会诊信息查看以及会诊的处理等。</w:t>
                  </w:r>
                  <w:r>
                    <w:br w:type="textWrapping"/>
                  </w:r>
                  <w:r>
                    <w:rPr>
                      <w:color w:val="000000"/>
                      <w:sz w:val="22"/>
                    </w:rPr>
                    <w:t>1)会诊列表查询：支持院内需要医生会诊的查询。用户可根据所需日期进行特定筛查，亦可筛查已处理会诊及需处理会诊。且支持医生对需处理会诊进行在线操作。</w:t>
                  </w:r>
                  <w:r>
                    <w:br w:type="textWrapping"/>
                  </w:r>
                  <w:r>
                    <w:rPr>
                      <w:color w:val="000000"/>
                      <w:sz w:val="22"/>
                    </w:rPr>
                    <w:t>2)会诊信息查看：查看会诊列表中某一条会诊记录的详细信息，详细信息包括患者基本信息，简要病历及会诊目的，主要诊断，会诊意见等。对于需处理会诊，同时支持医生在查看过程中进行诊断录入，填写会诊意见等所需操作。</w:t>
                  </w:r>
                  <w:r>
                    <w:br w:type="textWrapping"/>
                  </w:r>
                  <w:r>
                    <w:rPr>
                      <w:color w:val="000000"/>
                      <w:sz w:val="22"/>
                    </w:rPr>
                    <w:t>3)会诊的处理：会诊的处理旨在针对需处理会诊，协助医生在线对需处理会诊进行在线诊断录入，填写会诊意见，医生可选择同意此次会诊或者不同意此次会诊结果。</w:t>
                  </w:r>
                  <w:r>
                    <w:br w:type="textWrapping"/>
                  </w:r>
                  <w:r>
                    <w:rPr>
                      <w:color w:val="000000"/>
                      <w:sz w:val="22"/>
                    </w:rPr>
                    <w:t>抗生素管理：通过抗生素管理，支持医生在线查询抗生素列表且对其进行在线处理。具体功能如下：</w:t>
                  </w:r>
                  <w:r>
                    <w:br w:type="textWrapping"/>
                  </w:r>
                  <w:r>
                    <w:rPr>
                      <w:color w:val="000000"/>
                      <w:sz w:val="22"/>
                    </w:rPr>
                    <w:t>1)抗生素列表查询</w:t>
                  </w:r>
                  <w:r>
                    <w:br w:type="textWrapping"/>
                  </w:r>
                  <w:r>
                    <w:rPr>
                      <w:color w:val="000000"/>
                      <w:sz w:val="22"/>
                    </w:rPr>
                    <w:t>支持医生在线查看抗生素列表，可根据用户需要查看已处理抗生素，亦可查看未处理抗生素，且点击列表中某一条抗生素信息时能够查看此条抗生素数据的具体抗生素申请单信息。同时支持用户对未处理抗生素进行在线审核操作。</w:t>
                  </w:r>
                  <w:r>
                    <w:br w:type="textWrapping"/>
                  </w:r>
                  <w:r>
                    <w:rPr>
                      <w:color w:val="000000"/>
                      <w:sz w:val="22"/>
                    </w:rPr>
                    <w:t>2)抗生素处理</w:t>
                  </w:r>
                  <w:r>
                    <w:br w:type="textWrapping"/>
                  </w:r>
                  <w:r>
                    <w:rPr>
                      <w:color w:val="000000"/>
                      <w:sz w:val="22"/>
                    </w:rPr>
                    <w:t>抗生素处理旨在针对未处理抗生素进行在线处理，用户可在抗生素未处理查询列表中选中其中一条或者多条数据，点击审核之后的弹出框做出同意与不同意及取消此次审核操作。若点击同意，则此次审核完成。</w:t>
                  </w:r>
                  <w:r>
                    <w:br w:type="textWrapping"/>
                  </w:r>
                  <w:r>
                    <w:rPr>
                      <w:color w:val="000000"/>
                      <w:sz w:val="22"/>
                    </w:rPr>
                    <w:t>危急值管理：通过危急值管理，可协助医生随时随地按日期询危急值及危急值详情查看。</w:t>
                  </w:r>
                  <w:r>
                    <w:br w:type="textWrapping"/>
                  </w:r>
                  <w:r>
                    <w:rPr>
                      <w:color w:val="000000"/>
                      <w:sz w:val="22"/>
                    </w:rPr>
                    <w:t>1)危急值查询</w:t>
                  </w:r>
                  <w:r>
                    <w:br w:type="textWrapping"/>
                  </w:r>
                  <w:r>
                    <w:rPr>
                      <w:color w:val="000000"/>
                      <w:sz w:val="22"/>
                    </w:rPr>
                    <w:t>点击“危急值管理”按钮，支持医生按照所需日期查看有危急值的病人列表，点击某条数据之后可查看此条信息的详情，条件允许情况下将引入检验检查等危急值，便于用户统一管理。</w:t>
                  </w:r>
                  <w:r>
                    <w:br w:type="textWrapping"/>
                  </w:r>
                  <w:r>
                    <w:rPr>
                      <w:color w:val="000000"/>
                      <w:sz w:val="22"/>
                    </w:rPr>
                    <w:t>2)危急值详情查看</w:t>
                  </w:r>
                  <w:r>
                    <w:br w:type="textWrapping"/>
                  </w:r>
                  <w:r>
                    <w:rPr>
                      <w:color w:val="000000"/>
                      <w:sz w:val="22"/>
                    </w:rPr>
                    <w:t>支持医生点击危急值列表中某条数据之后查看此次危急值详情。</w:t>
                  </w:r>
                  <w:r>
                    <w:br w:type="textWrapping"/>
                  </w:r>
                  <w:r>
                    <w:rPr>
                      <w:color w:val="000000"/>
                      <w:sz w:val="22"/>
                    </w:rPr>
                    <w:t>住院科室：支持医生根据医生住院权限，在多个住院科室之间进行切换。</w:t>
                  </w:r>
                  <w:r>
                    <w:br w:type="textWrapping"/>
                  </w:r>
                  <w:r>
                    <w:rPr>
                      <w:color w:val="000000"/>
                      <w:sz w:val="22"/>
                    </w:rPr>
                    <w:t>病人信息：病人信息功能支持医生在本科室下按时间查询患者列表，其中红色图标为女患者，蓝色图标为男患者。并显示床号、患者姓名、患者病案号，亦可点击某条数据查看患者基本信息，亦可将此患者列表隐藏。</w:t>
                  </w:r>
                  <w:r>
                    <w:br w:type="textWrapping"/>
                  </w:r>
                  <w:r>
                    <w:rPr>
                      <w:color w:val="000000"/>
                      <w:sz w:val="22"/>
                    </w:rPr>
                    <w:t>查看病人基本信息：通过此功能，支持医生查询患者基本信息，患者所在病区，患者费用使用情况等基本信息。</w:t>
                  </w:r>
                  <w:r>
                    <w:br w:type="textWrapping"/>
                  </w:r>
                  <w:r>
                    <w:rPr>
                      <w:color w:val="000000"/>
                      <w:sz w:val="22"/>
                    </w:rPr>
                    <w:t>诊断信息：诊断界面分为“本次诊断”和“历次诊断”,此功能旨在帮助医生在线查询患者当前诊断及历次诊断信息，每行显示诊断内容、医生和诊断日期，亦可帮助医生进行在线诊断录入等操作。</w:t>
                  </w:r>
                  <w:r>
                    <w:br w:type="textWrapping"/>
                  </w:r>
                  <w:r>
                    <w:rPr>
                      <w:color w:val="000000"/>
                      <w:sz w:val="22"/>
                    </w:rPr>
                    <w:t>查看病人诊断信息：通过此功能，医生可选择查看患者的此次诊断详细信息，亦可查看本患者历次诊断信息。历史诊断信息包括诊断描述，诊断类型及日期时间等信息。</w:t>
                  </w:r>
                  <w:r>
                    <w:br w:type="textWrapping"/>
                  </w:r>
                  <w:r>
                    <w:rPr>
                      <w:color w:val="000000"/>
                      <w:sz w:val="22"/>
                    </w:rPr>
                    <w:t>诊断录入：点击“诊断录入”之后，支持医生为此患者添加一条诊断信息，输入诊断名称，选择诊断类型，填写诊断备注之后点击“添加”为患者录入一条新的诊断。</w:t>
                  </w:r>
                  <w:r>
                    <w:br w:type="textWrapping"/>
                  </w:r>
                  <w:r>
                    <w:rPr>
                      <w:color w:val="000000"/>
                      <w:sz w:val="22"/>
                    </w:rPr>
                    <w:t>查看病人医嘱信息：点击医嘱信息页签切换到医嘱信息界面，通过此功能，支持医生按照所需日期查看患者的临时医嘱(包括已停和在用),支持医生查看住院患者的长期医嘱信息(包括已停和在用),支持医生查看住院患者的护嘱信息(包括已停和在用),支持医生点击某条医嘱查看当前医嘱的详细情况。同时，支持医生对在用医嘱进行停止与撤销处理。</w:t>
                  </w:r>
                  <w:r>
                    <w:br w:type="textWrapping"/>
                  </w:r>
                  <w:r>
                    <w:rPr>
                      <w:color w:val="000000"/>
                      <w:sz w:val="22"/>
                    </w:rPr>
                    <w:t>检验报告：点击检验报告页签进入，此功能旨在帮助医生更好的掌握患者相关检验情况，医生可根据项目分类，亦可根据所需日期进行查询。具体包括查询检验列表，查询检验结果详情，查询单项检验结果折线图以及历次结果对比。</w:t>
                  </w:r>
                  <w:r>
                    <w:br w:type="textWrapping"/>
                  </w:r>
                  <w:r>
                    <w:rPr>
                      <w:color w:val="000000"/>
                      <w:sz w:val="22"/>
                    </w:rPr>
                    <w:t>查询检验列表：医生可根据项目分类亦或所需日期查询该患者当次就诊的检验列表，同时支持医生点击某条检验数据查看其详细结果。</w:t>
                  </w:r>
                  <w:r>
                    <w:br w:type="textWrapping"/>
                  </w:r>
                  <w:r>
                    <w:rPr>
                      <w:color w:val="000000"/>
                      <w:sz w:val="22"/>
                    </w:rPr>
                    <w:t>查询检验结果详情：支持医生查询某条检验数据的详情及结果，其中红色表示不符合标准，能够协助医生更准确的捕捉异常数据。</w:t>
                  </w:r>
                  <w:r>
                    <w:br w:type="textWrapping"/>
                  </w:r>
                  <w:r>
                    <w:rPr>
                      <w:color w:val="000000"/>
                      <w:sz w:val="22"/>
                    </w:rPr>
                    <w:t>查询单项检验结果折线图：支持医生查看某项检验结果的对比折线图。点击某条小项，显示本项在你所有检验中只要有这种检验的结果波形图，协助医生更加直观的查看某项检验结果的数据波动。</w:t>
                  </w:r>
                  <w:r>
                    <w:br w:type="textWrapping"/>
                  </w:r>
                  <w:r>
                    <w:rPr>
                      <w:color w:val="000000"/>
                      <w:sz w:val="22"/>
                    </w:rPr>
                    <w:t>历次结果对比：此功能主要针对某项有多次检验的情况，支持医生查看某项检验的历史数据对比。帮助医生更好的对比患者在历次就诊过程中某项检验结果的变化情况。</w:t>
                  </w:r>
                  <w:r>
                    <w:br w:type="textWrapping"/>
                  </w:r>
                  <w:r>
                    <w:rPr>
                      <w:color w:val="000000"/>
                      <w:sz w:val="22"/>
                    </w:rPr>
                    <w:t>检查报告：点击检查报告页签进入，此功能旨在帮助医生查看各项检查的结果，对于具备检查图像的患者还支持医生在线查看此次检查的图像。具体功能包括查询检查列表，查看检查报告结果详情，查看检查报告，查看检查图像等。</w:t>
                  </w:r>
                  <w:r>
                    <w:br w:type="textWrapping"/>
                  </w:r>
                  <w:r>
                    <w:rPr>
                      <w:color w:val="000000"/>
                      <w:sz w:val="22"/>
                    </w:rPr>
                    <w:t>查询检查列表：此项旨在帮助医生查询患者当次就诊的检查列表，每条数据包括各项检查结果，若有检查报告则会有相关报告链接，若有检查图像亦有相关检查图像链接，支持医生点击查看相关报告及图像。若无则为空白。</w:t>
                  </w:r>
                  <w:r>
                    <w:br w:type="textWrapping"/>
                  </w:r>
                  <w:r>
                    <w:rPr>
                      <w:color w:val="000000"/>
                      <w:sz w:val="22"/>
                    </w:rPr>
                    <w:t>查看检查结果详情：点击检查列表中某条数据，支持医生查看此次结果的详情，详情包括检查所见以及诊断意见等。</w:t>
                  </w:r>
                  <w:r>
                    <w:br w:type="textWrapping"/>
                  </w:r>
                  <w:r>
                    <w:rPr>
                      <w:color w:val="000000"/>
                      <w:sz w:val="22"/>
                    </w:rPr>
                    <w:t>查看检查报告：于检查列表中，若患者具备检查报告，则会有相关检查报告的链接，若无则为空，此项针对存在检查报告的检查结果。支持医生点击检查报告链接查看此项检查的报告详情。</w:t>
                  </w:r>
                  <w:r>
                    <w:br w:type="textWrapping"/>
                  </w:r>
                  <w:r>
                    <w:rPr>
                      <w:color w:val="000000"/>
                      <w:sz w:val="22"/>
                    </w:rPr>
                    <w:t>移动医生工作站系统方便医生掌握患者病情，便于输入治疗方案，提高医生工作效率。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756</w:t>
                  </w:r>
                </w:p>
              </w:tc>
              <w:tc>
                <w:tcPr>
                  <w:tcW w:w="1964"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接口服务</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国家卫生统计网络直报系统接口</w:t>
                  </w:r>
                  <w:r>
                    <w:br w:type="textWrapping"/>
                  </w:r>
                  <w:r>
                    <w:rPr>
                      <w:color w:val="000000"/>
                      <w:sz w:val="22"/>
                    </w:rPr>
                    <w:t>广东省远程医疗中心</w:t>
                  </w:r>
                  <w:r>
                    <w:br w:type="textWrapping"/>
                  </w:r>
                  <w:r>
                    <w:rPr>
                      <w:color w:val="000000"/>
                      <w:sz w:val="22"/>
                    </w:rPr>
                    <w:t>广东省妇幼健康信息平台</w:t>
                  </w:r>
                  <w:r>
                    <w:br w:type="textWrapping"/>
                  </w:r>
                  <w:r>
                    <w:rPr>
                      <w:color w:val="000000"/>
                      <w:sz w:val="22"/>
                    </w:rPr>
                    <w:t>广东省电子健康码平台</w:t>
                  </w:r>
                  <w:r>
                    <w:br w:type="textWrapping"/>
                  </w:r>
                  <w:r>
                    <w:rPr>
                      <w:color w:val="000000"/>
                      <w:sz w:val="22"/>
                    </w:rPr>
                    <w:t>与广东省病案系统对接</w:t>
                  </w:r>
                  <w:r>
                    <w:br w:type="textWrapping"/>
                  </w:r>
                  <w:r>
                    <w:rPr>
                      <w:color w:val="000000"/>
                      <w:sz w:val="22"/>
                    </w:rPr>
                    <w:t>广东省基层医疗卫生机构管理信息系统接口</w:t>
                  </w:r>
                  <w:r>
                    <w:br w:type="textWrapping"/>
                  </w:r>
                  <w:r>
                    <w:rPr>
                      <w:color w:val="000000"/>
                      <w:sz w:val="22"/>
                    </w:rPr>
                    <w:t>广东省“粤省事”接口</w:t>
                  </w:r>
                  <w:r>
                    <w:br w:type="textWrapping"/>
                  </w:r>
                  <w:r>
                    <w:rPr>
                      <w:color w:val="000000"/>
                      <w:sz w:val="22"/>
                    </w:rPr>
                    <w:t>广东省财政电子票据系统接口</w:t>
                  </w:r>
                  <w:r>
                    <w:br w:type="textWrapping"/>
                  </w:r>
                  <w:r>
                    <w:rPr>
                      <w:color w:val="000000"/>
                      <w:sz w:val="22"/>
                    </w:rPr>
                    <w:t>医保电子处方中心“双通道”业务实施两定机构接口</w:t>
                  </w:r>
                  <w:r>
                    <w:br w:type="textWrapping"/>
                  </w:r>
                  <w:r>
                    <w:rPr>
                      <w:color w:val="000000"/>
                      <w:sz w:val="22"/>
                    </w:rPr>
                    <w:t>广东省检查检验结果互认共享平台</w:t>
                  </w:r>
                  <w:r>
                    <w:br w:type="textWrapping"/>
                  </w:r>
                  <w:r>
                    <w:rPr>
                      <w:color w:val="000000"/>
                      <w:sz w:val="22"/>
                    </w:rPr>
                    <w:t>广东省食源性疾病病例监测直报接口</w:t>
                  </w:r>
                  <w:r>
                    <w:br w:type="textWrapping"/>
                  </w:r>
                  <w:r>
                    <w:rPr>
                      <w:color w:val="000000"/>
                      <w:sz w:val="22"/>
                    </w:rPr>
                    <w:t>惠州市区域卫生信息平台</w:t>
                  </w:r>
                  <w:r>
                    <w:br w:type="textWrapping"/>
                  </w:r>
                  <w:r>
                    <w:rPr>
                      <w:color w:val="000000"/>
                      <w:sz w:val="22"/>
                    </w:rPr>
                    <w:t>惠州市医疗保险信息管理系统接口</w:t>
                  </w:r>
                  <w:r>
                    <w:br w:type="textWrapping"/>
                  </w:r>
                  <w:r>
                    <w:rPr>
                      <w:color w:val="000000"/>
                      <w:sz w:val="22"/>
                    </w:rPr>
                    <w:t>银行pos接口</w:t>
                  </w:r>
                  <w:r>
                    <w:br w:type="textWrapping"/>
                  </w:r>
                  <w:r>
                    <w:rPr>
                      <w:color w:val="000000"/>
                      <w:sz w:val="22"/>
                    </w:rPr>
                    <w:t>自助机接口</w:t>
                  </w:r>
                  <w:r>
                    <w:br w:type="textWrapping"/>
                  </w:r>
                  <w:r>
                    <w:rPr>
                      <w:color w:val="000000"/>
                      <w:sz w:val="22"/>
                    </w:rPr>
                    <w:t>CA机构接口</w:t>
                  </w:r>
                  <w:r>
                    <w:br w:type="textWrapping"/>
                  </w:r>
                  <w:r>
                    <w:rPr>
                      <w:color w:val="000000"/>
                      <w:sz w:val="22"/>
                    </w:rPr>
                    <w:t>院内其他设备接口</w:t>
                  </w:r>
                  <w:r>
                    <w:br w:type="textWrapping"/>
                  </w:r>
                  <w:r>
                    <w:rPr>
                      <w:color w:val="000000"/>
                      <w:sz w:val="22"/>
                    </w:rPr>
                    <w:t>现有医院信息集成平台接口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757</w:t>
                  </w:r>
                </w:p>
              </w:tc>
              <w:tc>
                <w:tcPr>
                  <w:tcW w:w="1321" w:type="dxa"/>
                  <w:gridSpan w:val="2"/>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医院历史数据迁移服务</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医院HIS数据迁移</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包括HIS数据现状分析、继承方式实施、继承后的校验等服务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758</w:t>
                  </w:r>
                </w:p>
              </w:tc>
              <w:tc>
                <w:tcPr>
                  <w:tcW w:w="1321" w:type="dxa"/>
                  <w:gridSpan w:val="2"/>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电子病历数据迁移</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包括电子病历数据现状分析、继承方式实施、继承的校验等服务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759</w:t>
                  </w:r>
                </w:p>
              </w:tc>
              <w:tc>
                <w:tcPr>
                  <w:tcW w:w="1321" w:type="dxa"/>
                  <w:gridSpan w:val="2"/>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医院其他系统数据</w:t>
                  </w:r>
                  <w:r>
                    <w:rPr>
                      <w:color w:val="000000"/>
                      <w:sz w:val="21"/>
                    </w:rPr>
                    <w:t>迁移</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包括其他系统数据现状分析、继承方式实施、继承后的校验等服务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760</w:t>
                  </w:r>
                </w:p>
              </w:tc>
              <w:tc>
                <w:tcPr>
                  <w:tcW w:w="1321" w:type="dxa"/>
                  <w:gridSpan w:val="2"/>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电子病历、互联互通测评服务</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电子病历测评支持服务</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数据质量工具应用</w:t>
                  </w:r>
                  <w:r>
                    <w:br w:type="textWrapping"/>
                  </w:r>
                  <w:r>
                    <w:rPr>
                      <w:color w:val="000000"/>
                      <w:sz w:val="22"/>
                    </w:rPr>
                    <w:t>电子病历评级过程支持服务</w:t>
                  </w:r>
                  <w:r>
                    <w:br w:type="textWrapping"/>
                  </w:r>
                  <w:r>
                    <w:rPr>
                      <w:color w:val="000000"/>
                      <w:sz w:val="22"/>
                    </w:rPr>
                    <w:t>项目差距调研分析评估服务</w:t>
                  </w:r>
                  <w:r>
                    <w:br w:type="textWrapping"/>
                  </w:r>
                  <w:r>
                    <w:rPr>
                      <w:color w:val="000000"/>
                      <w:sz w:val="22"/>
                    </w:rPr>
                    <w:t>申报材料整理的指导和准备</w:t>
                  </w:r>
                  <w:r>
                    <w:br w:type="textWrapping"/>
                  </w:r>
                  <w:r>
                    <w:rPr>
                      <w:color w:val="000000"/>
                      <w:sz w:val="22"/>
                    </w:rPr>
                    <w:t>网上申报支持</w:t>
                  </w:r>
                  <w:r>
                    <w:br w:type="textWrapping"/>
                  </w:r>
                  <w:r>
                    <w:rPr>
                      <w:color w:val="000000"/>
                      <w:sz w:val="22"/>
                    </w:rPr>
                    <w:t>文审答辩支持</w:t>
                  </w:r>
                  <w:r>
                    <w:br w:type="textWrapping"/>
                  </w:r>
                  <w:r>
                    <w:rPr>
                      <w:color w:val="000000"/>
                      <w:sz w:val="22"/>
                    </w:rPr>
                    <w:t>现场测评支持服务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4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761</w:t>
                  </w:r>
                </w:p>
              </w:tc>
              <w:tc>
                <w:tcPr>
                  <w:tcW w:w="1321" w:type="dxa"/>
                  <w:gridSpan w:val="2"/>
                  <w:vMerge w:val="continue"/>
                  <w:tcBorders>
                    <w:top w:val="nil"/>
                    <w:left w:val="nil"/>
                    <w:bottom w:val="single" w:color="000000" w:sz="4" w:space="0"/>
                    <w:right w:val="single" w:color="000000" w:sz="4" w:space="0"/>
                  </w:tcBorders>
                </w:tc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互联互通测评支持服务</w:t>
                  </w:r>
                </w:p>
              </w:tc>
              <w:tc>
                <w:tcPr>
                  <w:tcW w:w="283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项目差距调研分析评估服务</w:t>
                  </w:r>
                  <w:r>
                    <w:br w:type="textWrapping"/>
                  </w:r>
                  <w:r>
                    <w:rPr>
                      <w:color w:val="000000"/>
                      <w:sz w:val="22"/>
                    </w:rPr>
                    <w:t>申报材料整理的指导和准备</w:t>
                  </w:r>
                  <w:r>
                    <w:br w:type="textWrapping"/>
                  </w:r>
                  <w:r>
                    <w:rPr>
                      <w:color w:val="000000"/>
                      <w:sz w:val="22"/>
                    </w:rPr>
                    <w:t>网上申报支持</w:t>
                  </w:r>
                  <w:r>
                    <w:br w:type="textWrapping"/>
                  </w:r>
                  <w:r>
                    <w:rPr>
                      <w:color w:val="000000"/>
                      <w:sz w:val="22"/>
                    </w:rPr>
                    <w:t>文审答辩支持</w:t>
                  </w:r>
                  <w:r>
                    <w:br w:type="textWrapping"/>
                  </w:r>
                  <w:r>
                    <w:rPr>
                      <w:color w:val="000000"/>
                      <w:sz w:val="22"/>
                    </w:rPr>
                    <w:t>现场测评支持服务</w:t>
                  </w:r>
                </w:p>
              </w:tc>
            </w:tr>
          </w:tbl>
          <w:p>
            <w:pPr>
              <w:pStyle w:val="4"/>
              <w:spacing w:before="285" w:after="285"/>
              <w:jc w:val="left"/>
              <w:outlineLvl w:val="3"/>
            </w:pPr>
            <w:r>
              <w:rPr>
                <w:b/>
                <w:color w:val="000000"/>
                <w:sz w:val="28"/>
              </w:rPr>
              <w:t>1.2.3.硬件技术参数要求（IT基础设施设备）</w:t>
            </w:r>
          </w:p>
          <w:p>
            <w:pPr>
              <w:pStyle w:val="4"/>
              <w:spacing w:before="150" w:after="150"/>
              <w:jc w:val="left"/>
              <w:outlineLvl w:val="1"/>
            </w:pPr>
            <w:r>
              <w:rPr>
                <w:b/>
                <w:color w:val="000000"/>
                <w:sz w:val="28"/>
              </w:rPr>
              <w:t>1.2.3.1.核心业务集群（16台）配置要求</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31"/>
              <w:gridCol w:w="431"/>
              <w:gridCol w:w="559"/>
              <w:gridCol w:w="437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参数性质</w:t>
                  </w:r>
                </w:p>
              </w:tc>
              <w:tc>
                <w:tcPr>
                  <w:tcW w:w="30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序号</w:t>
                  </w:r>
                </w:p>
              </w:tc>
              <w:tc>
                <w:tcPr>
                  <w:tcW w:w="52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需求名称</w:t>
                  </w:r>
                </w:p>
              </w:tc>
              <w:tc>
                <w:tcPr>
                  <w:tcW w:w="437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需求/功能描述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0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w:t>
                  </w:r>
                </w:p>
              </w:tc>
              <w:tc>
                <w:tcPr>
                  <w:tcW w:w="52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规格</w:t>
                  </w: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标准机架式2U服务器；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0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w:t>
                  </w:r>
                </w:p>
              </w:tc>
              <w:tc>
                <w:tcPr>
                  <w:tcW w:w="52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处理器</w:t>
                  </w: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1"/>
                    </w:rPr>
                    <w:t>不低于2颗第三代可扩展处理器（2.60GHZ/32C）；</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0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w:t>
                  </w:r>
                </w:p>
              </w:tc>
              <w:tc>
                <w:tcPr>
                  <w:tcW w:w="52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内存</w:t>
                  </w: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1"/>
                    </w:rPr>
                    <w:t>内存容量≧256G；</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0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w:t>
                  </w:r>
                </w:p>
              </w:tc>
              <w:tc>
                <w:tcPr>
                  <w:tcW w:w="52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存储</w:t>
                  </w: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1"/>
                    </w:rPr>
                    <w:t>不低于4×3.84T SSD SATA 2.5英寸硬盘,支持热插拔；</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0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w:t>
                  </w:r>
                </w:p>
              </w:tc>
              <w:tc>
                <w:tcPr>
                  <w:tcW w:w="52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raid卡</w:t>
                  </w: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1"/>
                    </w:rPr>
                    <w:t>支持JBOD/RAID0/RAID1/RAID10；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0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w:t>
                  </w:r>
                </w:p>
              </w:tc>
              <w:tc>
                <w:tcPr>
                  <w:tcW w:w="52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风扇</w:t>
                  </w: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1"/>
                    </w:rPr>
                    <w:t>支持4个风扇模块，支持热插拔，支持N+1冗余；</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0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w:t>
                  </w:r>
                </w:p>
              </w:tc>
              <w:tc>
                <w:tcPr>
                  <w:tcW w:w="52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网络接口</w:t>
                  </w: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2千兆电口+6万兆光口；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0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8</w:t>
                  </w:r>
                </w:p>
              </w:tc>
              <w:tc>
                <w:tcPr>
                  <w:tcW w:w="52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电源</w:t>
                  </w: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1"/>
                    </w:rPr>
                    <w:t>冗余电源（1300W白金交流电源）；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0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9</w:t>
                  </w:r>
                </w:p>
              </w:tc>
              <w:tc>
                <w:tcPr>
                  <w:tcW w:w="52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保修</w:t>
                  </w: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1"/>
                    </w:rPr>
                    <w:t>三年产品质保及软件升级，7×24小时服务。</w:t>
                  </w:r>
                </w:p>
              </w:tc>
            </w:tr>
          </w:tbl>
          <w:p>
            <w:pPr>
              <w:pStyle w:val="4"/>
              <w:spacing w:before="150" w:after="150"/>
              <w:jc w:val="left"/>
              <w:outlineLvl w:val="1"/>
            </w:pPr>
            <w:r>
              <w:rPr>
                <w:b/>
                <w:color w:val="000000"/>
                <w:sz w:val="28"/>
              </w:rPr>
              <w:t>1.2.3.2.核心业务集群虚拟化软件（32套）配置要求</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30"/>
              <w:gridCol w:w="434"/>
              <w:gridCol w:w="532"/>
              <w:gridCol w:w="437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参数性质</w:t>
                  </w:r>
                </w:p>
              </w:tc>
              <w:tc>
                <w:tcPr>
                  <w:tcW w:w="30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序号</w:t>
                  </w:r>
                </w:p>
              </w:tc>
              <w:tc>
                <w:tcPr>
                  <w:tcW w:w="53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需求名称</w:t>
                  </w:r>
                </w:p>
              </w:tc>
              <w:tc>
                <w:tcPr>
                  <w:tcW w:w="437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需求/功能描述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0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w:t>
                  </w:r>
                </w:p>
              </w:tc>
              <w:tc>
                <w:tcPr>
                  <w:tcW w:w="53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核心业务集群虚拟化软件</w:t>
                  </w: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核心业务集群虚拟化软件需提供计算服务器虚拟化软件授权，网络虚拟化软件授权，虚拟存储软件授权，安全虚拟化软件授权，云计算管理软件授权，软件升级不少于3年。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210"/>
                    <w:jc w:val="both"/>
                  </w:pPr>
                  <w:r>
                    <w:rPr>
                      <w:color w:val="000000"/>
                      <w:sz w:val="21"/>
                    </w:rPr>
                    <w:t>▲</w:t>
                  </w:r>
                </w:p>
              </w:tc>
              <w:tc>
                <w:tcPr>
                  <w:tcW w:w="30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w:t>
                  </w:r>
                </w:p>
              </w:tc>
              <w:tc>
                <w:tcPr>
                  <w:tcW w:w="532" w:type="dxa"/>
                  <w:vMerge w:val="continue"/>
                  <w:tcBorders>
                    <w:top w:val="nil"/>
                    <w:left w:val="nil"/>
                    <w:bottom w:val="single" w:color="000000" w:sz="4" w:space="0"/>
                    <w:right w:val="single" w:color="000000" w:sz="4" w:space="0"/>
                  </w:tcBorders>
                </w:tcP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云计算管理平台，和底层资源池部分的（计算虚拟化、存储虚拟化、网络虚拟化）均为同一厂商品牌提供，并可以支持扩展同一品牌的网络和安全虚拟化（虚拟应用防火墙、虚拟应用负载均衡等）功能组件，以保障平台的扩展性和兼容性。（需提供通过序列号方式扩展产品功能的截图，并加盖原厂公章或投标人公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0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w:t>
                  </w:r>
                </w:p>
              </w:tc>
              <w:tc>
                <w:tcPr>
                  <w:tcW w:w="532" w:type="dxa"/>
                  <w:vMerge w:val="continue"/>
                  <w:tcBorders>
                    <w:top w:val="nil"/>
                    <w:left w:val="nil"/>
                    <w:bottom w:val="single" w:color="000000" w:sz="4" w:space="0"/>
                    <w:right w:val="single" w:color="000000" w:sz="4" w:space="0"/>
                  </w:tcBorders>
                </w:tcP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支持大屏展示便于客户直观查看虚拟化资源池的使用情况和健康状态，包括集群资源情况，各主机资源使用情况，包括内存/CPU/磁盘使用趋势，以及集群故障与告警等。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0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w:t>
                  </w:r>
                </w:p>
              </w:tc>
              <w:tc>
                <w:tcPr>
                  <w:tcW w:w="532" w:type="dxa"/>
                  <w:vMerge w:val="continue"/>
                  <w:tcBorders>
                    <w:top w:val="nil"/>
                    <w:left w:val="nil"/>
                    <w:bottom w:val="single" w:color="000000" w:sz="4" w:space="0"/>
                    <w:right w:val="single" w:color="000000" w:sz="4" w:space="0"/>
                  </w:tcBorders>
                </w:tcP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支持上传或利用现有云主机创建镜像，可对镜像进行管理、关联资源池等操作，可通过镜像实现一键快速创建云主机及安全组件。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0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w:t>
                  </w:r>
                </w:p>
              </w:tc>
              <w:tc>
                <w:tcPr>
                  <w:tcW w:w="532" w:type="dxa"/>
                  <w:vMerge w:val="continue"/>
                  <w:tcBorders>
                    <w:top w:val="nil"/>
                    <w:left w:val="nil"/>
                    <w:bottom w:val="single" w:color="000000" w:sz="4" w:space="0"/>
                    <w:right w:val="single" w:color="000000" w:sz="4" w:space="0"/>
                  </w:tcBorders>
                </w:tcP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平台中的集群资源环境一键健康检测，可以选择检测对象，包括系统运行状态检测（系统服务检测、配置文件检测、系统分区检测、存储空间检测）、系统配置检测（网口配置检测）、硬件健康检测（CPU检测、内存检测、网卡检测、硬盘基本功能检测）可以点击开始检测按钮对检测对象进行检测操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0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w:t>
                  </w:r>
                </w:p>
              </w:tc>
              <w:tc>
                <w:tcPr>
                  <w:tcW w:w="532" w:type="dxa"/>
                  <w:vMerge w:val="continue"/>
                  <w:tcBorders>
                    <w:top w:val="nil"/>
                    <w:left w:val="nil"/>
                    <w:bottom w:val="single" w:color="000000" w:sz="4" w:space="0"/>
                    <w:right w:val="single" w:color="000000" w:sz="4" w:space="0"/>
                  </w:tcBorders>
                </w:tcP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支持对超融合平台的硬件进行监控和大屏展示，包含CPU、内存、网卡、硬盘、存储、RAID等硬件健康检测，便于及时发现问题并提供相应异常检测项的恢复指导建议。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w:t>
                  </w:r>
                </w:p>
              </w:tc>
              <w:tc>
                <w:tcPr>
                  <w:tcW w:w="30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w:t>
                  </w:r>
                </w:p>
              </w:tc>
              <w:tc>
                <w:tcPr>
                  <w:tcW w:w="532" w:type="dxa"/>
                  <w:vMerge w:val="continue"/>
                  <w:tcBorders>
                    <w:top w:val="nil"/>
                    <w:left w:val="nil"/>
                    <w:bottom w:val="single" w:color="000000" w:sz="4" w:space="0"/>
                    <w:right w:val="single" w:color="000000" w:sz="4" w:space="0"/>
                  </w:tcBorders>
                </w:tcP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支持云平台在线升级，且升级过程中需支持对升级节点进行升级顺序编排、升级暂停。（需提供产品功能截图，并加盖原厂公章或投标人公章）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0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8</w:t>
                  </w:r>
                </w:p>
              </w:tc>
              <w:tc>
                <w:tcPr>
                  <w:tcW w:w="532" w:type="dxa"/>
                  <w:vMerge w:val="continue"/>
                  <w:tcBorders>
                    <w:top w:val="nil"/>
                    <w:left w:val="nil"/>
                    <w:bottom w:val="single" w:color="000000" w:sz="4" w:space="0"/>
                    <w:right w:val="single" w:color="000000" w:sz="4" w:space="0"/>
                  </w:tcBorders>
                </w:tcP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为了方便业务运维，超融合平台应该支持虚拟机在运行状态将磁盘分配模式从精简改为预分配，不需要重启即可立即生效。</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0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9</w:t>
                  </w:r>
                </w:p>
              </w:tc>
              <w:tc>
                <w:tcPr>
                  <w:tcW w:w="532" w:type="dxa"/>
                  <w:vMerge w:val="continue"/>
                  <w:tcBorders>
                    <w:top w:val="nil"/>
                    <w:left w:val="nil"/>
                    <w:bottom w:val="single" w:color="000000" w:sz="4" w:space="0"/>
                    <w:right w:val="single" w:color="000000" w:sz="4" w:space="0"/>
                  </w:tcBorders>
                </w:tcP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可以查看高可用（HA）配置页面信息，包括故障检测敏感度和故障迁移选项，可以对故障检测敏感度进行设置，包括高、中高、中、中低和低，可以查看故障迁移列表项，包括管理通信口、虚拟机直接或间隔一个交换机连接的物理出口、虚拟机所在存储和启用HA。</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0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10</w:t>
                  </w:r>
                </w:p>
              </w:tc>
              <w:tc>
                <w:tcPr>
                  <w:tcW w:w="532" w:type="dxa"/>
                  <w:vMerge w:val="continue"/>
                  <w:tcBorders>
                    <w:top w:val="nil"/>
                    <w:left w:val="nil"/>
                    <w:bottom w:val="single" w:color="000000" w:sz="4" w:space="0"/>
                    <w:right w:val="single" w:color="000000" w:sz="4" w:space="0"/>
                  </w:tcBorders>
                </w:tcP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支持虚拟机的无代理备份，能提供虚拟机高性能备份功能，无备份数据容量限制，可将直接将虚拟机备份到磁盘，并支持生成全新虚拟机的方式进行恢复。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0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11</w:t>
                  </w:r>
                </w:p>
              </w:tc>
              <w:tc>
                <w:tcPr>
                  <w:tcW w:w="532" w:type="dxa"/>
                  <w:vMerge w:val="continue"/>
                  <w:tcBorders>
                    <w:top w:val="nil"/>
                    <w:left w:val="nil"/>
                    <w:bottom w:val="single" w:color="000000" w:sz="4" w:space="0"/>
                    <w:right w:val="single" w:color="000000" w:sz="4" w:space="0"/>
                  </w:tcBorders>
                </w:tcP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可以进行热迁移操作，并查看迁移任务详情，包括状态、起始时间、主机和描述时间。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0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12</w:t>
                  </w:r>
                </w:p>
              </w:tc>
              <w:tc>
                <w:tcPr>
                  <w:tcW w:w="532" w:type="dxa"/>
                  <w:vMerge w:val="continue"/>
                  <w:tcBorders>
                    <w:top w:val="nil"/>
                    <w:left w:val="nil"/>
                    <w:bottom w:val="single" w:color="000000" w:sz="4" w:space="0"/>
                    <w:right w:val="single" w:color="000000" w:sz="4" w:space="0"/>
                  </w:tcBorders>
                </w:tcP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虚拟机迁移支持指定网口迁移、限制迁移速度、启用压缩传输，同时虚拟机迁移过程中如因数据写入量过大迁移不完，可支持强制切换操作。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w:t>
                  </w:r>
                </w:p>
              </w:tc>
              <w:tc>
                <w:tcPr>
                  <w:tcW w:w="30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13</w:t>
                  </w:r>
                </w:p>
              </w:tc>
              <w:tc>
                <w:tcPr>
                  <w:tcW w:w="532" w:type="dxa"/>
                  <w:vMerge w:val="continue"/>
                  <w:tcBorders>
                    <w:top w:val="nil"/>
                    <w:left w:val="nil"/>
                    <w:bottom w:val="single" w:color="000000" w:sz="4" w:space="0"/>
                    <w:right w:val="single" w:color="000000" w:sz="4" w:space="0"/>
                  </w:tcBorders>
                </w:tcP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为避免平台虚拟机误删操作，需支持点击还原按钮，还原回收站列表指定项，可设置回收站文件保留天数，可以查看回收站列表项信息，包括名称、描述、存储和删除时间和保留时间。（需提供产品功能截图，并加盖厂商公章或投标人公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w:t>
                  </w:r>
                </w:p>
              </w:tc>
              <w:tc>
                <w:tcPr>
                  <w:tcW w:w="30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14</w:t>
                  </w:r>
                </w:p>
              </w:tc>
              <w:tc>
                <w:tcPr>
                  <w:tcW w:w="532" w:type="dxa"/>
                  <w:vMerge w:val="continue"/>
                  <w:tcBorders>
                    <w:top w:val="nil"/>
                    <w:left w:val="nil"/>
                    <w:bottom w:val="single" w:color="000000" w:sz="4" w:space="0"/>
                    <w:right w:val="single" w:color="000000" w:sz="4" w:space="0"/>
                  </w:tcBorders>
                </w:tcP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支持内存ECC自动纠错机制，当扫描到物理主机的内存条出现ECC CE和UE错误时，能够将对应内存空间进行隔离并定位故障内存的槽位，减少硬件问题对业务的影响。（提供带有CMA、CNAS标识的检测报告证明，至少包含报告首页，对应功能测试页和报告尾页，并加盖原厂公章或投标人公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0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15</w:t>
                  </w:r>
                </w:p>
              </w:tc>
              <w:tc>
                <w:tcPr>
                  <w:tcW w:w="532" w:type="dxa"/>
                  <w:vMerge w:val="continue"/>
                  <w:tcBorders>
                    <w:top w:val="nil"/>
                    <w:left w:val="nil"/>
                    <w:bottom w:val="single" w:color="000000" w:sz="4" w:space="0"/>
                    <w:right w:val="single" w:color="000000" w:sz="4" w:space="0"/>
                  </w:tcBorders>
                </w:tcP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支持选择多种克隆方式，包括快速全量克隆、全量克隆和链接克隆，可查看通过链接克隆的虚拟机是否运行正常，可以设置克隆完成后自动启动克隆虚拟机操作。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w:t>
                  </w:r>
                </w:p>
              </w:tc>
              <w:tc>
                <w:tcPr>
                  <w:tcW w:w="30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16</w:t>
                  </w:r>
                </w:p>
              </w:tc>
              <w:tc>
                <w:tcPr>
                  <w:tcW w:w="532" w:type="dxa"/>
                  <w:vMerge w:val="continue"/>
                  <w:tcBorders>
                    <w:top w:val="nil"/>
                    <w:left w:val="nil"/>
                    <w:bottom w:val="single" w:color="000000" w:sz="4" w:space="0"/>
                    <w:right w:val="single" w:color="000000" w:sz="4" w:space="0"/>
                  </w:tcBorders>
                </w:tcP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由于硬件故障对平台影响较大，也会影响数据安全，为保障业务在硬件故障后尽快恢复冗余数据保障，支持进行数据重建操作，重建速率达到30分钟/TB；重建过程中可以查看数据重建任务列表信息，包括对象名称、对象类型、数据量和优先级等；支持点击操作中的优先级对数据重建进行优先重建。（提供带有CMA、CNAS标识的检测报告证明，至少包含报告首页，对应功能测试页和报告尾页，并加盖原厂公章或投标人公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0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17</w:t>
                  </w:r>
                </w:p>
              </w:tc>
              <w:tc>
                <w:tcPr>
                  <w:tcW w:w="532" w:type="dxa"/>
                  <w:vMerge w:val="continue"/>
                  <w:tcBorders>
                    <w:top w:val="nil"/>
                    <w:left w:val="nil"/>
                    <w:bottom w:val="single" w:color="000000" w:sz="4" w:space="0"/>
                    <w:right w:val="single" w:color="000000" w:sz="4" w:space="0"/>
                  </w:tcBorders>
                </w:tcP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支持数据重建智能保护业务性能，可以对数据重建速度进行智能限速避免数据重建过程中IO性能占用导致对业务的性能造成影响。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w:t>
                  </w:r>
                </w:p>
              </w:tc>
              <w:tc>
                <w:tcPr>
                  <w:tcW w:w="30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18</w:t>
                  </w:r>
                </w:p>
              </w:tc>
              <w:tc>
                <w:tcPr>
                  <w:tcW w:w="532" w:type="dxa"/>
                  <w:vMerge w:val="continue"/>
                  <w:tcBorders>
                    <w:top w:val="nil"/>
                    <w:left w:val="nil"/>
                    <w:bottom w:val="single" w:color="000000" w:sz="4" w:space="0"/>
                    <w:right w:val="single" w:color="000000" w:sz="4" w:space="0"/>
                  </w:tcBorders>
                </w:tcP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由于磁盘卡慢盘可能拖累平台性能导致业务卡顿，为保证磁盘健康，当服务器硬件出现HDD卡慢盘时，可以在磁盘管理界面显示并告警，可以对HDD的卡慢盘进行自动隔离。（需提供带有CNAS标识的检测报告证明，至少包含报告首页，对应功能测试页和报告尾页，并加盖原厂公章或投标人公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w:t>
                  </w:r>
                </w:p>
              </w:tc>
              <w:tc>
                <w:tcPr>
                  <w:tcW w:w="30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19</w:t>
                  </w:r>
                </w:p>
              </w:tc>
              <w:tc>
                <w:tcPr>
                  <w:tcW w:w="532" w:type="dxa"/>
                  <w:vMerge w:val="continue"/>
                  <w:tcBorders>
                    <w:top w:val="nil"/>
                    <w:left w:val="nil"/>
                    <w:bottom w:val="single" w:color="000000" w:sz="4" w:space="0"/>
                    <w:right w:val="single" w:color="000000" w:sz="4" w:space="0"/>
                  </w:tcBorders>
                </w:tcP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基本资源监控功能，查看CPU、网络和磁盘已使用实时数据信息，最小监控粒度可达到20s，可以点击告警设置对CPU、网络和磁盘进行占用阈值设置操作，可以以告警通知。（需提供产品功能截图，并加盖厂商公章或投标人公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0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20</w:t>
                  </w:r>
                </w:p>
              </w:tc>
              <w:tc>
                <w:tcPr>
                  <w:tcW w:w="532" w:type="dxa"/>
                  <w:vMerge w:val="continue"/>
                  <w:tcBorders>
                    <w:top w:val="nil"/>
                    <w:left w:val="nil"/>
                    <w:bottom w:val="single" w:color="000000" w:sz="4" w:space="0"/>
                    <w:right w:val="single" w:color="000000" w:sz="4" w:space="0"/>
                  </w:tcBorders>
                </w:tcP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通过License激活的方式，实现网络虚拟化功能（分布式虚拟交换机、虚拟路由器、虚拟应用防火墙、虚拟应用负载均衡），支持Vxlan网络和现有的Vlan网络对接，实现虚拟化平台与原有网络的兼容性。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0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21</w:t>
                  </w:r>
                </w:p>
              </w:tc>
              <w:tc>
                <w:tcPr>
                  <w:tcW w:w="532" w:type="dxa"/>
                  <w:vMerge w:val="continue"/>
                  <w:tcBorders>
                    <w:top w:val="nil"/>
                    <w:left w:val="nil"/>
                    <w:bottom w:val="single" w:color="000000" w:sz="4" w:space="0"/>
                    <w:right w:val="single" w:color="000000" w:sz="4" w:space="0"/>
                  </w:tcBorders>
                </w:tcP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本次配置不限制虚拟路由器创建数量，虚拟路由器支持HA功能，当虚拟路由器运行的主机出现故障时，可以实现故障自动恢复，保障业务的高可靠性。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w:t>
                  </w:r>
                </w:p>
              </w:tc>
              <w:tc>
                <w:tcPr>
                  <w:tcW w:w="30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22</w:t>
                  </w:r>
                </w:p>
              </w:tc>
              <w:tc>
                <w:tcPr>
                  <w:tcW w:w="532" w:type="dxa"/>
                  <w:vMerge w:val="continue"/>
                  <w:tcBorders>
                    <w:top w:val="nil"/>
                    <w:left w:val="nil"/>
                    <w:bottom w:val="single" w:color="000000" w:sz="4" w:space="0"/>
                    <w:right w:val="single" w:color="000000" w:sz="4" w:space="0"/>
                  </w:tcBorders>
                </w:tcP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在图形化管理平台上，通过托、拉、拽方式完成虚拟网络拓扑构建，可以在网络拓扑页面通过功能按键，实现虚拟网络连接、开启和关闭等操作。（需提供带有CMA、CNAS标识的检测报告证明，至少包含报告首页，对应功能测试页和报告尾页，并加盖原厂公章或投标人公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0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23</w:t>
                  </w:r>
                </w:p>
              </w:tc>
              <w:tc>
                <w:tcPr>
                  <w:tcW w:w="532" w:type="dxa"/>
                  <w:vMerge w:val="continue"/>
                  <w:tcBorders>
                    <w:top w:val="nil"/>
                    <w:left w:val="nil"/>
                    <w:bottom w:val="single" w:color="000000" w:sz="4" w:space="0"/>
                    <w:right w:val="single" w:color="000000" w:sz="4" w:space="0"/>
                  </w:tcBorders>
                </w:tcP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可以支持手动指定虚拟路由器运行在固定的物理主机上，可以自动将虚拟路由器规划到高性能和高吞吐的物理主机上。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w:t>
                  </w:r>
                </w:p>
              </w:tc>
              <w:tc>
                <w:tcPr>
                  <w:tcW w:w="30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24</w:t>
                  </w:r>
                </w:p>
              </w:tc>
              <w:tc>
                <w:tcPr>
                  <w:tcW w:w="532" w:type="dxa"/>
                  <w:vMerge w:val="continue"/>
                  <w:tcBorders>
                    <w:top w:val="nil"/>
                    <w:left w:val="nil"/>
                    <w:bottom w:val="single" w:color="000000" w:sz="4" w:space="0"/>
                    <w:right w:val="single" w:color="000000" w:sz="4" w:space="0"/>
                  </w:tcBorders>
                </w:tcP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跳转连通性探测页面，可以设置探测对象信息，包括网口、对象类型、IP地址，可以点击开始探测按钮查看探测页面信息，可以在网络连通性探测页面查看网络探测是否成功。（需提供带有CMA、CNAS标识的检测报告证明，至少包含报告首页，对应功能测试页和报告尾页，并加盖原厂公章或投标人公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0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25</w:t>
                  </w:r>
                </w:p>
              </w:tc>
              <w:tc>
                <w:tcPr>
                  <w:tcW w:w="532" w:type="dxa"/>
                  <w:vMerge w:val="continue"/>
                  <w:tcBorders>
                    <w:top w:val="nil"/>
                    <w:left w:val="nil"/>
                    <w:bottom w:val="single" w:color="000000" w:sz="4" w:space="0"/>
                    <w:right w:val="single" w:color="000000" w:sz="4" w:space="0"/>
                  </w:tcBorders>
                </w:tcP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需提供网络可视化组件，可在图形化界面上观察到所有虚拟机的流量走向与访问关系，包括源对象、源IP、目标对象、目的IP、访问次数、服务类型、动作等。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0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26</w:t>
                  </w:r>
                </w:p>
              </w:tc>
              <w:tc>
                <w:tcPr>
                  <w:tcW w:w="532" w:type="dxa"/>
                  <w:vMerge w:val="continue"/>
                  <w:tcBorders>
                    <w:top w:val="nil"/>
                    <w:left w:val="nil"/>
                    <w:bottom w:val="single" w:color="000000" w:sz="4" w:space="0"/>
                    <w:right w:val="single" w:color="000000" w:sz="4" w:space="0"/>
                  </w:tcBorders>
                </w:tcP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云安全中心需集成于虚拟化平台中，一体化方式交付，无需第三方平台承载，平台必须能够提供虚拟主机安全防护安全能力,并对检测到的恶意活动可自动采取分布式防火墙隔离虚拟机、为虚拟机拍摄快照等防护手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0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27</w:t>
                  </w:r>
                </w:p>
              </w:tc>
              <w:tc>
                <w:tcPr>
                  <w:tcW w:w="532" w:type="dxa"/>
                  <w:vMerge w:val="continue"/>
                  <w:tcBorders>
                    <w:top w:val="nil"/>
                    <w:left w:val="nil"/>
                    <w:bottom w:val="single" w:color="000000" w:sz="4" w:space="0"/>
                    <w:right w:val="single" w:color="000000" w:sz="4" w:space="0"/>
                  </w:tcBorders>
                </w:tcP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为便于运维人员及时获取平台安全情况，云安全中心需要支持安全事件展示、安全风险分析、风险趋势分析、告警与处置记录、病毒和漏洞扫描记录，并实施监控虚拟机的防护状态。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w:t>
                  </w:r>
                </w:p>
              </w:tc>
              <w:tc>
                <w:tcPr>
                  <w:tcW w:w="30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28</w:t>
                  </w:r>
                </w:p>
              </w:tc>
              <w:tc>
                <w:tcPr>
                  <w:tcW w:w="532" w:type="dxa"/>
                  <w:vMerge w:val="continue"/>
                  <w:tcBorders>
                    <w:top w:val="nil"/>
                    <w:left w:val="nil"/>
                    <w:bottom w:val="single" w:color="000000" w:sz="4" w:space="0"/>
                    <w:right w:val="single" w:color="000000" w:sz="4" w:space="0"/>
                  </w:tcBorders>
                </w:tcP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基于业务安全性和运维高效性考虑，需要虚拟化平台支持在虚拟机安装性能优化工具时自动安装组件功能对操作系统进行安全防护。（需提供具有CMA、CNAS资质的第三方测试机构的证明材料，至少包含报告首页，对应功能测试页和报告尾页，并加盖原厂公章或投标人公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0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29</w:t>
                  </w:r>
                </w:p>
              </w:tc>
              <w:tc>
                <w:tcPr>
                  <w:tcW w:w="532" w:type="dxa"/>
                  <w:vMerge w:val="continue"/>
                  <w:tcBorders>
                    <w:top w:val="nil"/>
                    <w:left w:val="nil"/>
                    <w:bottom w:val="single" w:color="000000" w:sz="4" w:space="0"/>
                    <w:right w:val="single" w:color="000000" w:sz="4" w:space="0"/>
                  </w:tcBorders>
                </w:tcP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基于业务虚拟机安全考虑，需要云平台支持支持对虚拟机漏洞情况进行扫描，查看漏洞详情并恢复。包括检测时间、检测来源、解决建议、修复流程等。并可以扫描出的漏洞修复能力。</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w:t>
                  </w:r>
                </w:p>
              </w:tc>
              <w:tc>
                <w:tcPr>
                  <w:tcW w:w="30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30</w:t>
                  </w:r>
                </w:p>
              </w:tc>
              <w:tc>
                <w:tcPr>
                  <w:tcW w:w="532" w:type="dxa"/>
                  <w:vMerge w:val="continue"/>
                  <w:tcBorders>
                    <w:top w:val="nil"/>
                    <w:left w:val="nil"/>
                    <w:bottom w:val="single" w:color="000000" w:sz="4" w:space="0"/>
                    <w:right w:val="single" w:color="000000" w:sz="4" w:space="0"/>
                  </w:tcBorders>
                </w:tcP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提供向导化勒索病毒处理流程，包括紧急隔离、保留当前状态、恢复云主机、扫描病毒、恢复网络。并支持事前勒索病毒防护、事中检测疑似勒索可打自动对虚拟机打快照、事后勒索病毒向导化处理。（需提供具有CMA、CNAS资质的第三方测试机构的证明材料，至少包含报告首页，对应功能测试页和报告尾页，并加盖原厂公章或投标人公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w:t>
                  </w:r>
                </w:p>
              </w:tc>
              <w:tc>
                <w:tcPr>
                  <w:tcW w:w="30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31</w:t>
                  </w:r>
                </w:p>
              </w:tc>
              <w:tc>
                <w:tcPr>
                  <w:tcW w:w="532" w:type="dxa"/>
                  <w:vMerge w:val="continue"/>
                  <w:tcBorders>
                    <w:top w:val="nil"/>
                    <w:left w:val="nil"/>
                    <w:bottom w:val="single" w:color="000000" w:sz="4" w:space="0"/>
                    <w:right w:val="single" w:color="000000" w:sz="4" w:space="0"/>
                  </w:tcBorders>
                </w:tcP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为确保超融合平台在医疗行业的自主可信，超融合软件需获得互联网医疗健康产业联盟颁发的医疗云计算基础设施可信证书。（需提供证书证明，并加盖原厂公章或投标人公章）</w:t>
                  </w:r>
                </w:p>
              </w:tc>
            </w:tr>
          </w:tbl>
          <w:p>
            <w:pPr>
              <w:pStyle w:val="4"/>
              <w:spacing w:before="150" w:after="150"/>
              <w:jc w:val="left"/>
              <w:outlineLvl w:val="1"/>
            </w:pPr>
            <w:r>
              <w:rPr>
                <w:b/>
                <w:color w:val="000000"/>
                <w:sz w:val="28"/>
              </w:rPr>
              <w:t>1.2.3.3.核心业务集群持续性数据保护软件（1套）配置要求</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31"/>
              <w:gridCol w:w="434"/>
              <w:gridCol w:w="532"/>
              <w:gridCol w:w="4366"/>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参数性质</w:t>
                  </w:r>
                </w:p>
              </w:tc>
              <w:tc>
                <w:tcPr>
                  <w:tcW w:w="3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序号</w:t>
                  </w:r>
                </w:p>
              </w:tc>
              <w:tc>
                <w:tcPr>
                  <w:tcW w:w="53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需求名称</w:t>
                  </w:r>
                </w:p>
              </w:tc>
              <w:tc>
                <w:tcPr>
                  <w:tcW w:w="436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需求/功能描述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w:t>
                  </w:r>
                </w:p>
              </w:tc>
              <w:tc>
                <w:tcPr>
                  <w:tcW w:w="53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核心业务集群持续性数据保护软件</w:t>
                  </w:r>
                </w:p>
              </w:tc>
              <w:tc>
                <w:tcPr>
                  <w:tcW w:w="436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持续数据保护CDP软件模块需采用无代理的方案，避免对虚拟机的稳定性和性能产生影响，可设置RPO为5秒或1秒。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w:t>
                  </w:r>
                </w:p>
              </w:tc>
              <w:tc>
                <w:tcPr>
                  <w:tcW w:w="532" w:type="dxa"/>
                  <w:vMerge w:val="continue"/>
                  <w:tcBorders>
                    <w:top w:val="nil"/>
                    <w:left w:val="nil"/>
                    <w:bottom w:val="single" w:color="000000" w:sz="4" w:space="0"/>
                    <w:right w:val="single" w:color="000000" w:sz="4" w:space="0"/>
                  </w:tcBorders>
                </w:tcPr>
                <w:p/>
              </w:tc>
              <w:tc>
                <w:tcPr>
                  <w:tcW w:w="436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内置持续数据保护CDP软件模块，能够动态的开启和关闭，比如能够提供对正在运行的虚拟机，在不需要重启或中断业务的情况下，就可以开启CDP。</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w:t>
                  </w:r>
                </w:p>
              </w:tc>
              <w:tc>
                <w:tcPr>
                  <w:tcW w:w="532" w:type="dxa"/>
                  <w:vMerge w:val="continue"/>
                  <w:tcBorders>
                    <w:top w:val="nil"/>
                    <w:left w:val="nil"/>
                    <w:bottom w:val="single" w:color="000000" w:sz="4" w:space="0"/>
                    <w:right w:val="single" w:color="000000" w:sz="4" w:space="0"/>
                  </w:tcBorders>
                </w:tcPr>
                <w:p/>
              </w:tc>
              <w:tc>
                <w:tcPr>
                  <w:tcW w:w="436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点击备份&amp;CDP页面列表指定项操作栏中的找回文件按钮进行备份找回文件操作，可以对找回文件进行下载操作，可以通过日志方式记录展示备份找回文件。（需提供产品功能截图，并加盖厂商公章或投标人公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w:t>
                  </w:r>
                </w:p>
              </w:tc>
              <w:tc>
                <w:tcPr>
                  <w:tcW w:w="532" w:type="dxa"/>
                  <w:vMerge w:val="continue"/>
                  <w:tcBorders>
                    <w:top w:val="nil"/>
                    <w:left w:val="nil"/>
                    <w:bottom w:val="single" w:color="000000" w:sz="4" w:space="0"/>
                    <w:right w:val="single" w:color="000000" w:sz="4" w:space="0"/>
                  </w:tcBorders>
                </w:tcPr>
                <w:p/>
              </w:tc>
              <w:tc>
                <w:tcPr>
                  <w:tcW w:w="436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为保证整体的可靠性及安全性，要求提供CDP能力的厂商与云厂商为同一家，禁止借用第三方软件的整合。</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w:t>
                  </w:r>
                </w:p>
              </w:tc>
              <w:tc>
                <w:tcPr>
                  <w:tcW w:w="532" w:type="dxa"/>
                  <w:vMerge w:val="continue"/>
                  <w:tcBorders>
                    <w:top w:val="nil"/>
                    <w:left w:val="nil"/>
                    <w:bottom w:val="single" w:color="000000" w:sz="4" w:space="0"/>
                    <w:right w:val="single" w:color="000000" w:sz="4" w:space="0"/>
                  </w:tcBorders>
                </w:tcPr>
                <w:p/>
              </w:tc>
              <w:tc>
                <w:tcPr>
                  <w:tcW w:w="436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支持无代理CDP技术，不需要在虚拟机内部安装任何代理软件，即可对虚拟机进行持续数据保护，CDP不影响保护虚拟机的性能；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w:t>
                  </w:r>
                </w:p>
              </w:tc>
              <w:tc>
                <w:tcPr>
                  <w:tcW w:w="532" w:type="dxa"/>
                  <w:vMerge w:val="continue"/>
                  <w:tcBorders>
                    <w:top w:val="nil"/>
                    <w:left w:val="nil"/>
                    <w:bottom w:val="single" w:color="000000" w:sz="4" w:space="0"/>
                    <w:right w:val="single" w:color="000000" w:sz="4" w:space="0"/>
                  </w:tcBorders>
                </w:tcPr>
                <w:p/>
              </w:tc>
              <w:tc>
                <w:tcPr>
                  <w:tcW w:w="436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支持策略管理，最小提供RPO为秒级的数据保护；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w:t>
                  </w:r>
                </w:p>
              </w:tc>
              <w:tc>
                <w:tcPr>
                  <w:tcW w:w="532" w:type="dxa"/>
                  <w:vMerge w:val="continue"/>
                  <w:tcBorders>
                    <w:top w:val="nil"/>
                    <w:left w:val="nil"/>
                    <w:bottom w:val="single" w:color="000000" w:sz="4" w:space="0"/>
                    <w:right w:val="single" w:color="000000" w:sz="4" w:space="0"/>
                  </w:tcBorders>
                </w:tcPr>
                <w:p/>
              </w:tc>
              <w:tc>
                <w:tcPr>
                  <w:tcW w:w="436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支持业务虚拟机的快速恢复，可以指定策略覆盖原有虚拟机或者创建新虚拟机；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8</w:t>
                  </w:r>
                </w:p>
              </w:tc>
              <w:tc>
                <w:tcPr>
                  <w:tcW w:w="532" w:type="dxa"/>
                  <w:vMerge w:val="continue"/>
                  <w:tcBorders>
                    <w:top w:val="nil"/>
                    <w:left w:val="nil"/>
                    <w:bottom w:val="single" w:color="000000" w:sz="4" w:space="0"/>
                    <w:right w:val="single" w:color="000000" w:sz="4" w:space="0"/>
                  </w:tcBorders>
                </w:tcPr>
                <w:p/>
              </w:tc>
              <w:tc>
                <w:tcPr>
                  <w:tcW w:w="436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支持CDP备份任意时间点的数据克隆，通过克隆数据恢复虚拟机进行测试与验证；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9</w:t>
                  </w:r>
                </w:p>
              </w:tc>
              <w:tc>
                <w:tcPr>
                  <w:tcW w:w="532" w:type="dxa"/>
                  <w:vMerge w:val="continue"/>
                  <w:tcBorders>
                    <w:top w:val="nil"/>
                    <w:left w:val="nil"/>
                    <w:bottom w:val="single" w:color="000000" w:sz="4" w:space="0"/>
                    <w:right w:val="single" w:color="000000" w:sz="4" w:space="0"/>
                  </w:tcBorders>
                </w:tcPr>
                <w:p/>
              </w:tc>
              <w:tc>
                <w:tcPr>
                  <w:tcW w:w="436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支持通过CDP备份数据找回文件；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10</w:t>
                  </w:r>
                </w:p>
              </w:tc>
              <w:tc>
                <w:tcPr>
                  <w:tcW w:w="532" w:type="dxa"/>
                  <w:vMerge w:val="continue"/>
                  <w:tcBorders>
                    <w:top w:val="nil"/>
                    <w:left w:val="nil"/>
                    <w:bottom w:val="single" w:color="000000" w:sz="4" w:space="0"/>
                    <w:right w:val="single" w:color="000000" w:sz="4" w:space="0"/>
                  </w:tcBorders>
                </w:tcPr>
                <w:p/>
              </w:tc>
              <w:tc>
                <w:tcPr>
                  <w:tcW w:w="436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支持提供CDP备份时间点图形化显示，并显示CDP时间点IO日志保存速率；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11</w:t>
                  </w:r>
                </w:p>
              </w:tc>
              <w:tc>
                <w:tcPr>
                  <w:tcW w:w="532" w:type="dxa"/>
                  <w:vMerge w:val="continue"/>
                  <w:tcBorders>
                    <w:top w:val="nil"/>
                    <w:left w:val="nil"/>
                    <w:bottom w:val="single" w:color="000000" w:sz="4" w:space="0"/>
                    <w:right w:val="single" w:color="000000" w:sz="4" w:space="0"/>
                  </w:tcBorders>
                </w:tcPr>
                <w:p/>
              </w:tc>
              <w:tc>
                <w:tcPr>
                  <w:tcW w:w="436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支持CDP日志丢失后的备份恢复容错能力；</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12</w:t>
                  </w:r>
                </w:p>
              </w:tc>
              <w:tc>
                <w:tcPr>
                  <w:tcW w:w="532" w:type="dxa"/>
                  <w:vMerge w:val="continue"/>
                  <w:tcBorders>
                    <w:top w:val="nil"/>
                    <w:left w:val="nil"/>
                    <w:bottom w:val="single" w:color="000000" w:sz="4" w:space="0"/>
                    <w:right w:val="single" w:color="000000" w:sz="4" w:space="0"/>
                  </w:tcBorders>
                </w:tcPr>
                <w:p/>
              </w:tc>
              <w:tc>
                <w:tcPr>
                  <w:tcW w:w="436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提供不少于50个虚拟机CDP授权。</w:t>
                  </w:r>
                </w:p>
              </w:tc>
            </w:tr>
          </w:tbl>
          <w:p>
            <w:pPr>
              <w:pStyle w:val="4"/>
              <w:spacing w:before="150" w:after="150"/>
              <w:jc w:val="left"/>
              <w:outlineLvl w:val="1"/>
            </w:pPr>
            <w:r>
              <w:rPr>
                <w:b/>
                <w:color w:val="000000"/>
                <w:sz w:val="28"/>
              </w:rPr>
              <w:t>1.2.3.4.核心业务集群虚拟化安全软件（1套）配置要求</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31"/>
              <w:gridCol w:w="434"/>
              <w:gridCol w:w="523"/>
              <w:gridCol w:w="437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参数性质</w:t>
                  </w:r>
                </w:p>
              </w:tc>
              <w:tc>
                <w:tcPr>
                  <w:tcW w:w="3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序号</w:t>
                  </w:r>
                </w:p>
              </w:tc>
              <w:tc>
                <w:tcPr>
                  <w:tcW w:w="52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需求名称</w:t>
                  </w:r>
                </w:p>
              </w:tc>
              <w:tc>
                <w:tcPr>
                  <w:tcW w:w="437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需求/功能描述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w:t>
                  </w:r>
                </w:p>
              </w:tc>
              <w:tc>
                <w:tcPr>
                  <w:tcW w:w="52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核心业务集群虚拟化安全软件</w:t>
                  </w:r>
                </w:p>
              </w:tc>
              <w:tc>
                <w:tcPr>
                  <w:tcW w:w="43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虚拟化安全组件需提供不少于5套带宽性能为400Mbps的虚拟化下一代防火墙，提供不少于2套带宽性能为800Mbps的虚拟化下一代防火墙；提供不少于2套带宽（吞吐率）3Gbps的虚拟化应用交付；提供不少于1套虚拟化漏洞扫描软件；提供软件升级不少于3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w:t>
                  </w:r>
                </w:p>
              </w:tc>
              <w:tc>
                <w:tcPr>
                  <w:tcW w:w="523" w:type="dxa"/>
                  <w:vMerge w:val="continue"/>
                  <w:tcBorders>
                    <w:top w:val="nil"/>
                    <w:left w:val="nil"/>
                    <w:bottom w:val="single" w:color="000000" w:sz="4" w:space="0"/>
                    <w:right w:val="single" w:color="000000" w:sz="4" w:space="0"/>
                  </w:tcBorders>
                </w:tcPr>
                <w:p/>
              </w:tc>
              <w:tc>
                <w:tcPr>
                  <w:tcW w:w="43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虚拟化下一代防火墙支持DDoS攻击防护、Web应用安全防护、入侵防护功能、支持URL过滤和文件过滤功能、僵尸主机检测、病毒防护、网页篡改防护等功能，保障业务的高安全性。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w:t>
                  </w:r>
                </w:p>
              </w:tc>
              <w:tc>
                <w:tcPr>
                  <w:tcW w:w="523" w:type="dxa"/>
                  <w:vMerge w:val="continue"/>
                  <w:tcBorders>
                    <w:top w:val="nil"/>
                    <w:left w:val="nil"/>
                    <w:bottom w:val="single" w:color="000000" w:sz="4" w:space="0"/>
                    <w:right w:val="single" w:color="000000" w:sz="4" w:space="0"/>
                  </w:tcBorders>
                </w:tcPr>
                <w:p/>
              </w:tc>
              <w:tc>
                <w:tcPr>
                  <w:tcW w:w="43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虚拟化下一代防火墙具备独立的Web应用防护规则库，Web应用防护规则总数在3500条以上。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w:t>
                  </w:r>
                </w:p>
              </w:tc>
              <w:tc>
                <w:tcPr>
                  <w:tcW w:w="523" w:type="dxa"/>
                  <w:vMerge w:val="continue"/>
                  <w:tcBorders>
                    <w:top w:val="nil"/>
                    <w:left w:val="nil"/>
                    <w:bottom w:val="single" w:color="000000" w:sz="4" w:space="0"/>
                    <w:right w:val="single" w:color="000000" w:sz="4" w:space="0"/>
                  </w:tcBorders>
                </w:tcPr>
                <w:p/>
              </w:tc>
              <w:tc>
                <w:tcPr>
                  <w:tcW w:w="43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虚拟化下一代防火墙具备独立的僵尸主机识别特征库，恶意软件识别特征总数在160万条以上。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w:t>
                  </w:r>
                </w:p>
              </w:tc>
              <w:tc>
                <w:tcPr>
                  <w:tcW w:w="523" w:type="dxa"/>
                  <w:vMerge w:val="continue"/>
                  <w:tcBorders>
                    <w:top w:val="nil"/>
                    <w:left w:val="nil"/>
                    <w:bottom w:val="single" w:color="000000" w:sz="4" w:space="0"/>
                    <w:right w:val="single" w:color="000000" w:sz="4" w:space="0"/>
                  </w:tcBorders>
                </w:tcPr>
                <w:p/>
              </w:tc>
              <w:tc>
                <w:tcPr>
                  <w:tcW w:w="43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虚拟化下一代防火墙支持对常见应用服务（FTP、SSH、SMTP、IMAP）和数据库软件（MySQL、Oracle、MSSQL）的口令暴力破解防护功能，全面保障业务的安全。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w:t>
                  </w:r>
                </w:p>
              </w:tc>
              <w:tc>
                <w:tcPr>
                  <w:tcW w:w="523" w:type="dxa"/>
                  <w:vMerge w:val="continue"/>
                  <w:tcBorders>
                    <w:top w:val="nil"/>
                    <w:left w:val="nil"/>
                    <w:bottom w:val="single" w:color="000000" w:sz="4" w:space="0"/>
                    <w:right w:val="single" w:color="000000" w:sz="4" w:space="0"/>
                  </w:tcBorders>
                </w:tcPr>
                <w:p/>
              </w:tc>
              <w:tc>
                <w:tcPr>
                  <w:tcW w:w="43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由于安全风险与供应链风险越来越多，本次项目需要提供同品牌紧耦合的自研虚拟应用防火墙，非OEM，对重要业务进行7层应用防护。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w:t>
                  </w:r>
                </w:p>
              </w:tc>
              <w:tc>
                <w:tcPr>
                  <w:tcW w:w="523" w:type="dxa"/>
                  <w:vMerge w:val="continue"/>
                  <w:tcBorders>
                    <w:top w:val="nil"/>
                    <w:left w:val="nil"/>
                    <w:bottom w:val="single" w:color="000000" w:sz="4" w:space="0"/>
                    <w:right w:val="single" w:color="000000" w:sz="4" w:space="0"/>
                  </w:tcBorders>
                </w:tcPr>
                <w:p/>
              </w:tc>
              <w:tc>
                <w:tcPr>
                  <w:tcW w:w="43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虚拟化下一代防火墙具备对常见网络协议（SSH、FTP、RDP、VNC、Netbios）和数据库（MySQL、Oracle、MSSQL）的弱密码扫描功能，全面保障业务的安全。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8</w:t>
                  </w:r>
                </w:p>
              </w:tc>
              <w:tc>
                <w:tcPr>
                  <w:tcW w:w="523" w:type="dxa"/>
                  <w:vMerge w:val="continue"/>
                  <w:tcBorders>
                    <w:top w:val="nil"/>
                    <w:left w:val="nil"/>
                    <w:bottom w:val="single" w:color="000000" w:sz="4" w:space="0"/>
                    <w:right w:val="single" w:color="000000" w:sz="4" w:space="0"/>
                  </w:tcBorders>
                </w:tcPr>
                <w:p/>
              </w:tc>
              <w:tc>
                <w:tcPr>
                  <w:tcW w:w="43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虚拟化下一代防火墙提供安全报表，报表内容体现被保护对象的整体安全等级，发现漏洞情况以及遭受到攻击的漏洞统计，可以查看到有效攻击行为次数和攻击趋势。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9</w:t>
                  </w:r>
                </w:p>
              </w:tc>
              <w:tc>
                <w:tcPr>
                  <w:tcW w:w="523" w:type="dxa"/>
                  <w:vMerge w:val="continue"/>
                  <w:tcBorders>
                    <w:top w:val="nil"/>
                    <w:left w:val="nil"/>
                    <w:bottom w:val="single" w:color="000000" w:sz="4" w:space="0"/>
                    <w:right w:val="single" w:color="000000" w:sz="4" w:space="0"/>
                  </w:tcBorders>
                </w:tcPr>
                <w:p/>
              </w:tc>
              <w:tc>
                <w:tcPr>
                  <w:tcW w:w="43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虚拟化应用交付支持轮询、加权轮询、按主机加权轮询、加权最少连接、按主机加权最少连接、动态反馈、最快响应时间、加权最少流量、按主机加权最少流量、加权源IP哈希、带宽比例、哈希、首个可用、优先级等算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10</w:t>
                  </w:r>
                </w:p>
              </w:tc>
              <w:tc>
                <w:tcPr>
                  <w:tcW w:w="523" w:type="dxa"/>
                  <w:vMerge w:val="continue"/>
                  <w:tcBorders>
                    <w:top w:val="nil"/>
                    <w:left w:val="nil"/>
                    <w:bottom w:val="single" w:color="000000" w:sz="4" w:space="0"/>
                    <w:right w:val="single" w:color="000000" w:sz="4" w:space="0"/>
                  </w:tcBorders>
                </w:tcPr>
                <w:p/>
              </w:tc>
              <w:tc>
                <w:tcPr>
                  <w:tcW w:w="43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虚拟化应用交付支持常见的服务器主动式健康检查功能，提供基于SNMP、ICMP、TCP/UDP、FTP、HTTP、DNS、RADIUS，ORACLE/MSSQL/MYSQL数据库等多种类型的探测判断机制。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11</w:t>
                  </w:r>
                </w:p>
              </w:tc>
              <w:tc>
                <w:tcPr>
                  <w:tcW w:w="523" w:type="dxa"/>
                  <w:vMerge w:val="continue"/>
                  <w:tcBorders>
                    <w:top w:val="nil"/>
                    <w:left w:val="nil"/>
                    <w:bottom w:val="single" w:color="000000" w:sz="4" w:space="0"/>
                    <w:right w:val="single" w:color="000000" w:sz="4" w:space="0"/>
                  </w:tcBorders>
                </w:tcPr>
                <w:p/>
              </w:tc>
              <w:tc>
                <w:tcPr>
                  <w:tcW w:w="43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虚拟化应用交付支持HTTP缓存功能，利用内存Cache缓存用户频繁访问的web内容，降低后台服务器的负载压力,提升用户访问的响应速度。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12</w:t>
                  </w:r>
                </w:p>
              </w:tc>
              <w:tc>
                <w:tcPr>
                  <w:tcW w:w="523" w:type="dxa"/>
                  <w:vMerge w:val="continue"/>
                  <w:tcBorders>
                    <w:top w:val="nil"/>
                    <w:left w:val="nil"/>
                    <w:bottom w:val="single" w:color="000000" w:sz="4" w:space="0"/>
                    <w:right w:val="single" w:color="000000" w:sz="4" w:space="0"/>
                  </w:tcBorders>
                </w:tcPr>
                <w:p/>
              </w:tc>
              <w:tc>
                <w:tcPr>
                  <w:tcW w:w="43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虚拟化应用交付支持服务器被动式健康检查，可根据对业务流量的观测采样，辅助判断应用服务器健康状况；对常规HTTP应用可配置基于反映URL失效的HTTP响应状态码的观测判断机制，对于复杂应用可配置基于RST关闭连接和零窗口等异常TCP传输行为的观测判断机制，保障业务的高连续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13</w:t>
                  </w:r>
                </w:p>
              </w:tc>
              <w:tc>
                <w:tcPr>
                  <w:tcW w:w="523" w:type="dxa"/>
                  <w:vMerge w:val="continue"/>
                  <w:tcBorders>
                    <w:top w:val="nil"/>
                    <w:left w:val="nil"/>
                    <w:bottom w:val="single" w:color="000000" w:sz="4" w:space="0"/>
                    <w:right w:val="single" w:color="000000" w:sz="4" w:space="0"/>
                  </w:tcBorders>
                </w:tcPr>
                <w:p/>
              </w:tc>
              <w:tc>
                <w:tcPr>
                  <w:tcW w:w="43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虚拟化应用交付支持面向服务器健康度的弹性调控机制，可通过监控业务流中的TCP传输异常来衡量服务器节点的有效性，尝试对性能不足的服务器临时开启过载保护，动态调节服务器的负载，保障业务的高连续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14</w:t>
                  </w:r>
                </w:p>
              </w:tc>
              <w:tc>
                <w:tcPr>
                  <w:tcW w:w="523" w:type="dxa"/>
                  <w:vMerge w:val="continue"/>
                  <w:tcBorders>
                    <w:top w:val="nil"/>
                    <w:left w:val="nil"/>
                    <w:bottom w:val="single" w:color="000000" w:sz="4" w:space="0"/>
                    <w:right w:val="single" w:color="000000" w:sz="4" w:space="0"/>
                  </w:tcBorders>
                </w:tcPr>
                <w:p/>
              </w:tc>
              <w:tc>
                <w:tcPr>
                  <w:tcW w:w="43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虚拟化漏洞扫描软件支持资产发现、系统漏洞扫描、弱口令扫描、WEB漏洞扫描、基线配置核查五种任务类型。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15</w:t>
                  </w:r>
                </w:p>
              </w:tc>
              <w:tc>
                <w:tcPr>
                  <w:tcW w:w="523" w:type="dxa"/>
                  <w:vMerge w:val="continue"/>
                  <w:tcBorders>
                    <w:top w:val="nil"/>
                    <w:left w:val="nil"/>
                    <w:bottom w:val="single" w:color="000000" w:sz="4" w:space="0"/>
                    <w:right w:val="single" w:color="000000" w:sz="4" w:space="0"/>
                  </w:tcBorders>
                </w:tcPr>
                <w:p/>
              </w:tc>
              <w:tc>
                <w:tcPr>
                  <w:tcW w:w="43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虚拟化漏洞扫描软件支持资产发现功能，可基于IP地址、IP网段、IP范围、URL等方式进行资产发现扫描，支持EXCEL格式批量导入。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16</w:t>
                  </w:r>
                </w:p>
              </w:tc>
              <w:tc>
                <w:tcPr>
                  <w:tcW w:w="523" w:type="dxa"/>
                  <w:vMerge w:val="continue"/>
                  <w:tcBorders>
                    <w:top w:val="nil"/>
                    <w:left w:val="nil"/>
                    <w:bottom w:val="single" w:color="000000" w:sz="4" w:space="0"/>
                    <w:right w:val="single" w:color="000000" w:sz="4" w:space="0"/>
                  </w:tcBorders>
                </w:tcPr>
                <w:p/>
              </w:tc>
              <w:tc>
                <w:tcPr>
                  <w:tcW w:w="43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虚拟化漏洞扫描软件支持资产发现支持存活探测、服务和端口探测、操作系统识别、数据库识别、中间件识别、开发语言识别、开发框架识别、应用/服务识别和设备指纹识别等功能，其中服务和端口探测支持常用端口、全局端口和自定义端口三种探测方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17</w:t>
                  </w:r>
                </w:p>
              </w:tc>
              <w:tc>
                <w:tcPr>
                  <w:tcW w:w="523" w:type="dxa"/>
                  <w:vMerge w:val="continue"/>
                  <w:tcBorders>
                    <w:top w:val="nil"/>
                    <w:left w:val="nil"/>
                    <w:bottom w:val="single" w:color="000000" w:sz="4" w:space="0"/>
                    <w:right w:val="single" w:color="000000" w:sz="4" w:space="0"/>
                  </w:tcBorders>
                </w:tcPr>
                <w:p/>
              </w:tc>
              <w:tc>
                <w:tcPr>
                  <w:tcW w:w="43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虚拟化漏洞扫描软件支持支持操作系统、网络设备、数据库、中间件等漏洞扫描。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18</w:t>
                  </w:r>
                </w:p>
              </w:tc>
              <w:tc>
                <w:tcPr>
                  <w:tcW w:w="523" w:type="dxa"/>
                  <w:vMerge w:val="continue"/>
                  <w:tcBorders>
                    <w:top w:val="nil"/>
                    <w:left w:val="nil"/>
                    <w:bottom w:val="single" w:color="000000" w:sz="4" w:space="0"/>
                    <w:right w:val="single" w:color="000000" w:sz="4" w:space="0"/>
                  </w:tcBorders>
                </w:tcPr>
                <w:p/>
              </w:tc>
              <w:tc>
                <w:tcPr>
                  <w:tcW w:w="43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虚拟化漏洞扫描软件支持内置不同的系统漏洞模板，包括高可利用系统漏洞、原理检测系统漏洞、中间件漏洞、数据库漏洞等类型，支持报表形式展示漏洞模板风险等级分布概览，支持报表形式展示漏洞模板详情，包括漏洞总数、漏洞名称、漏洞类型、风险等级等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19</w:t>
                  </w:r>
                </w:p>
              </w:tc>
              <w:tc>
                <w:tcPr>
                  <w:tcW w:w="523" w:type="dxa"/>
                  <w:vMerge w:val="continue"/>
                  <w:tcBorders>
                    <w:top w:val="nil"/>
                    <w:left w:val="nil"/>
                    <w:bottom w:val="single" w:color="000000" w:sz="4" w:space="0"/>
                    <w:right w:val="single" w:color="000000" w:sz="4" w:space="0"/>
                  </w:tcBorders>
                </w:tcPr>
                <w:p/>
              </w:tc>
              <w:tc>
                <w:tcPr>
                  <w:tcW w:w="43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虚拟化漏洞扫描软件支持支持漏洞检索功能，可基于漏洞名称、CVE编号进行高级检索。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20</w:t>
                  </w:r>
                </w:p>
              </w:tc>
              <w:tc>
                <w:tcPr>
                  <w:tcW w:w="523" w:type="dxa"/>
                  <w:vMerge w:val="continue"/>
                  <w:tcBorders>
                    <w:top w:val="nil"/>
                    <w:left w:val="nil"/>
                    <w:bottom w:val="single" w:color="000000" w:sz="4" w:space="0"/>
                    <w:right w:val="single" w:color="000000" w:sz="4" w:space="0"/>
                  </w:tcBorders>
                </w:tcPr>
                <w:p/>
              </w:tc>
              <w:tc>
                <w:tcPr>
                  <w:tcW w:w="43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虚拟化漏洞扫描软件支持内置常用字典和精简字典两种弱口令扫描模板，常用字典包含常见的用户名及TOP160密码，精简密码适用于爆破速度快的密码猜解场景，支持自定义新增密码字典功能。</w:t>
                  </w:r>
                </w:p>
              </w:tc>
            </w:tr>
          </w:tbl>
          <w:p>
            <w:pPr>
              <w:pStyle w:val="4"/>
              <w:spacing w:before="150" w:after="150"/>
              <w:jc w:val="left"/>
              <w:outlineLvl w:val="1"/>
            </w:pPr>
            <w:r>
              <w:rPr>
                <w:b/>
                <w:color w:val="000000"/>
                <w:sz w:val="28"/>
              </w:rPr>
              <w:t>1.2.3.5.核心业务集群存储交换机（2台）配置要求</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31"/>
              <w:gridCol w:w="434"/>
              <w:gridCol w:w="524"/>
              <w:gridCol w:w="436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参数性质</w:t>
                  </w:r>
                </w:p>
              </w:tc>
              <w:tc>
                <w:tcPr>
                  <w:tcW w:w="31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序号</w:t>
                  </w:r>
                </w:p>
              </w:tc>
              <w:tc>
                <w:tcPr>
                  <w:tcW w:w="52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需求名称</w:t>
                  </w:r>
                </w:p>
              </w:tc>
              <w:tc>
                <w:tcPr>
                  <w:tcW w:w="436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需求/功能描述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w:t>
                  </w:r>
                </w:p>
              </w:tc>
              <w:tc>
                <w:tcPr>
                  <w:tcW w:w="5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网络接口</w:t>
                  </w:r>
                </w:p>
              </w:tc>
              <w:tc>
                <w:tcPr>
                  <w:tcW w:w="436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具备万兆SFP+光口≥24个，40GQSFP+光口≥2个；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w:t>
                  </w:r>
                </w:p>
              </w:tc>
              <w:tc>
                <w:tcPr>
                  <w:tcW w:w="5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性能</w:t>
                  </w:r>
                </w:p>
              </w:tc>
              <w:tc>
                <w:tcPr>
                  <w:tcW w:w="436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交换性能≥2.5Tbps，包转发率≥780Mpps；</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w:t>
                  </w:r>
                </w:p>
              </w:tc>
              <w:tc>
                <w:tcPr>
                  <w:tcW w:w="5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电源</w:t>
                  </w:r>
                </w:p>
              </w:tc>
              <w:tc>
                <w:tcPr>
                  <w:tcW w:w="436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支持可热插拔双电源模块1+1冗余；</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w:t>
                  </w:r>
                </w:p>
              </w:tc>
              <w:tc>
                <w:tcPr>
                  <w:tcW w:w="5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节能技术</w:t>
                  </w:r>
                </w:p>
              </w:tc>
              <w:tc>
                <w:tcPr>
                  <w:tcW w:w="436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支持IEEE802.3az标准的EEE节能技术：当EEE使能时，大幅度减小端口在该阶段的功耗，达到节能目的；</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w:t>
                  </w:r>
                </w:p>
              </w:tc>
              <w:tc>
                <w:tcPr>
                  <w:tcW w:w="52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基本功能</w:t>
                  </w:r>
                </w:p>
              </w:tc>
              <w:tc>
                <w:tcPr>
                  <w:tcW w:w="436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支持MAC地址≥32K，支持MAC地址自动学习、源MAC地址过滤、接口MAC地址学习个数限制；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w:t>
                  </w:r>
                </w:p>
              </w:tc>
              <w:tc>
                <w:tcPr>
                  <w:tcW w:w="524" w:type="dxa"/>
                  <w:vMerge w:val="continue"/>
                  <w:tcBorders>
                    <w:top w:val="nil"/>
                    <w:left w:val="nil"/>
                    <w:bottom w:val="single" w:color="000000" w:sz="4" w:space="0"/>
                    <w:right w:val="single" w:color="000000" w:sz="4" w:space="0"/>
                  </w:tcBorders>
                </w:tcPr>
                <w:p/>
              </w:tc>
              <w:tc>
                <w:tcPr>
                  <w:tcW w:w="436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支持基于端口或堆叠口的ACL策略、基于源目IP/MAC地址的ACL策略、基于协议的ACL策略、基于时间的ACL策略；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w:t>
                  </w:r>
                </w:p>
              </w:tc>
              <w:tc>
                <w:tcPr>
                  <w:tcW w:w="524" w:type="dxa"/>
                  <w:vMerge w:val="continue"/>
                  <w:tcBorders>
                    <w:top w:val="nil"/>
                    <w:left w:val="nil"/>
                    <w:bottom w:val="single" w:color="000000" w:sz="4" w:space="0"/>
                    <w:right w:val="single" w:color="000000" w:sz="4" w:space="0"/>
                  </w:tcBorders>
                </w:tcPr>
                <w:p/>
              </w:tc>
              <w:tc>
                <w:tcPr>
                  <w:tcW w:w="436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支持终端类型库，基于指纹自动识别PC、路由器、摄像头设备、无线AP等；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8</w:t>
                  </w:r>
                </w:p>
              </w:tc>
              <w:tc>
                <w:tcPr>
                  <w:tcW w:w="524" w:type="dxa"/>
                  <w:vMerge w:val="continue"/>
                  <w:tcBorders>
                    <w:top w:val="nil"/>
                    <w:left w:val="nil"/>
                    <w:bottom w:val="single" w:color="000000" w:sz="4" w:space="0"/>
                    <w:right w:val="single" w:color="000000" w:sz="4" w:space="0"/>
                  </w:tcBorders>
                </w:tcPr>
                <w:p/>
              </w:tc>
              <w:tc>
                <w:tcPr>
                  <w:tcW w:w="436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支持Qos特性，通过多种调度模式（例如：轮询模式、严格优先模式等）实现流量基于报文或端口的优先级；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9</w:t>
                  </w:r>
                </w:p>
              </w:tc>
              <w:tc>
                <w:tcPr>
                  <w:tcW w:w="524" w:type="dxa"/>
                  <w:vMerge w:val="continue"/>
                  <w:tcBorders>
                    <w:top w:val="nil"/>
                    <w:left w:val="nil"/>
                    <w:bottom w:val="single" w:color="000000" w:sz="4" w:space="0"/>
                    <w:right w:val="single" w:color="000000" w:sz="4" w:space="0"/>
                  </w:tcBorders>
                </w:tcPr>
                <w:p/>
              </w:tc>
              <w:tc>
                <w:tcPr>
                  <w:tcW w:w="436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支持交换机端口终端类型变更后，通过APP、短信告警；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10</w:t>
                  </w:r>
                </w:p>
              </w:tc>
              <w:tc>
                <w:tcPr>
                  <w:tcW w:w="5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配件</w:t>
                  </w:r>
                </w:p>
              </w:tc>
              <w:tc>
                <w:tcPr>
                  <w:tcW w:w="436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实配不少于16根光纤线、32个万兆多模光模块、1根3米40G堆叠线缆；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11</w:t>
                  </w:r>
                </w:p>
              </w:tc>
              <w:tc>
                <w:tcPr>
                  <w:tcW w:w="5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保修</w:t>
                  </w:r>
                </w:p>
              </w:tc>
              <w:tc>
                <w:tcPr>
                  <w:tcW w:w="436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1"/>
                    </w:rPr>
                    <w:t>3年7×24小时维保。</w:t>
                  </w:r>
                </w:p>
              </w:tc>
            </w:tr>
          </w:tbl>
          <w:p>
            <w:pPr>
              <w:pStyle w:val="4"/>
              <w:spacing w:before="150" w:after="150"/>
              <w:jc w:val="left"/>
              <w:outlineLvl w:val="1"/>
            </w:pPr>
            <w:r>
              <w:rPr>
                <w:b/>
                <w:color w:val="000000"/>
                <w:sz w:val="28"/>
              </w:rPr>
              <w:t>1.2.3.6.核心业务集群业务交换机（2台）配置要求</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31"/>
              <w:gridCol w:w="434"/>
              <w:gridCol w:w="525"/>
              <w:gridCol w:w="436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参数性质</w:t>
                  </w:r>
                </w:p>
              </w:tc>
              <w:tc>
                <w:tcPr>
                  <w:tcW w:w="31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序号</w:t>
                  </w:r>
                </w:p>
              </w:tc>
              <w:tc>
                <w:tcPr>
                  <w:tcW w:w="52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需求名称</w:t>
                  </w:r>
                </w:p>
              </w:tc>
              <w:tc>
                <w:tcPr>
                  <w:tcW w:w="436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需求/功能描述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w:t>
                  </w:r>
                </w:p>
              </w:tc>
              <w:tc>
                <w:tcPr>
                  <w:tcW w:w="52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网络接口</w:t>
                  </w:r>
                </w:p>
              </w:tc>
              <w:tc>
                <w:tcPr>
                  <w:tcW w:w="4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具备万兆SFP+光口≥24个，千兆电口≥24个，40GQSFP+光口≥2个；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w:t>
                  </w:r>
                </w:p>
              </w:tc>
              <w:tc>
                <w:tcPr>
                  <w:tcW w:w="52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性能</w:t>
                  </w:r>
                </w:p>
              </w:tc>
              <w:tc>
                <w:tcPr>
                  <w:tcW w:w="4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交换性能≥2.5Tbps，包转发率≥1300Mpps；</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w:t>
                  </w:r>
                </w:p>
              </w:tc>
              <w:tc>
                <w:tcPr>
                  <w:tcW w:w="52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电源</w:t>
                  </w:r>
                </w:p>
              </w:tc>
              <w:tc>
                <w:tcPr>
                  <w:tcW w:w="4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支持可热插拔双电源模块1+1冗余；</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w:t>
                  </w:r>
                </w:p>
              </w:tc>
              <w:tc>
                <w:tcPr>
                  <w:tcW w:w="52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基本功能</w:t>
                  </w:r>
                </w:p>
              </w:tc>
              <w:tc>
                <w:tcPr>
                  <w:tcW w:w="4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支持MAC地址≥32K，支持MAC地址自动学习、源MAC地址过滤、接口MAC地址学习个数限制；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w:t>
                  </w:r>
                </w:p>
              </w:tc>
              <w:tc>
                <w:tcPr>
                  <w:tcW w:w="525" w:type="dxa"/>
                  <w:vMerge w:val="continue"/>
                  <w:tcBorders>
                    <w:top w:val="nil"/>
                    <w:left w:val="nil"/>
                    <w:bottom w:val="single" w:color="000000" w:sz="4" w:space="0"/>
                    <w:right w:val="single" w:color="000000" w:sz="4" w:space="0"/>
                  </w:tcBorders>
                </w:tcPr>
                <w:p/>
              </w:tc>
              <w:tc>
                <w:tcPr>
                  <w:tcW w:w="4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支持基于端口或堆叠口的ACL策略、基于源目IP/MAC地址的ACL策略、基于协议的ACL策略、基于时间的ACL策略；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w:t>
                  </w:r>
                </w:p>
              </w:tc>
              <w:tc>
                <w:tcPr>
                  <w:tcW w:w="525" w:type="dxa"/>
                  <w:vMerge w:val="continue"/>
                  <w:tcBorders>
                    <w:top w:val="nil"/>
                    <w:left w:val="nil"/>
                    <w:bottom w:val="single" w:color="000000" w:sz="4" w:space="0"/>
                    <w:right w:val="single" w:color="000000" w:sz="4" w:space="0"/>
                  </w:tcBorders>
                </w:tcPr>
                <w:p/>
              </w:tc>
              <w:tc>
                <w:tcPr>
                  <w:tcW w:w="4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支持STP、RSTP、MSTP防环协议；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w:t>
                  </w:r>
                </w:p>
              </w:tc>
              <w:tc>
                <w:tcPr>
                  <w:tcW w:w="525" w:type="dxa"/>
                  <w:vMerge w:val="continue"/>
                  <w:tcBorders>
                    <w:top w:val="nil"/>
                    <w:left w:val="nil"/>
                    <w:bottom w:val="single" w:color="000000" w:sz="4" w:space="0"/>
                    <w:right w:val="single" w:color="000000" w:sz="4" w:space="0"/>
                  </w:tcBorders>
                </w:tcPr>
                <w:p/>
              </w:tc>
              <w:tc>
                <w:tcPr>
                  <w:tcW w:w="4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支持终端IP-MAC绑定，当IP+MAC不对应时，可以将终端加入黑名单实现断开终端流量；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8</w:t>
                  </w:r>
                </w:p>
              </w:tc>
              <w:tc>
                <w:tcPr>
                  <w:tcW w:w="525" w:type="dxa"/>
                  <w:vMerge w:val="continue"/>
                  <w:tcBorders>
                    <w:top w:val="nil"/>
                    <w:left w:val="nil"/>
                    <w:bottom w:val="single" w:color="000000" w:sz="4" w:space="0"/>
                    <w:right w:val="single" w:color="000000" w:sz="4" w:space="0"/>
                  </w:tcBorders>
                </w:tcPr>
                <w:p/>
              </w:tc>
              <w:tc>
                <w:tcPr>
                  <w:tcW w:w="4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支持M-LAG技术，跨设备链路聚合（非堆叠技术实现），要求配对的设备有独立的控制平面。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9</w:t>
                  </w:r>
                </w:p>
              </w:tc>
              <w:tc>
                <w:tcPr>
                  <w:tcW w:w="52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配件</w:t>
                  </w:r>
                </w:p>
              </w:tc>
              <w:tc>
                <w:tcPr>
                  <w:tcW w:w="4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实配不少于18根光纤线、36个万兆多模光模块、1根3米40G堆叠线缆；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10</w:t>
                  </w:r>
                </w:p>
              </w:tc>
              <w:tc>
                <w:tcPr>
                  <w:tcW w:w="52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保修</w:t>
                  </w:r>
                </w:p>
              </w:tc>
              <w:tc>
                <w:tcPr>
                  <w:tcW w:w="4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1"/>
                    </w:rPr>
                    <w:t>3年7×24小时维保。</w:t>
                  </w:r>
                </w:p>
              </w:tc>
            </w:tr>
          </w:tbl>
          <w:p>
            <w:pPr>
              <w:pStyle w:val="4"/>
              <w:spacing w:before="150" w:after="150"/>
              <w:jc w:val="left"/>
              <w:outlineLvl w:val="1"/>
            </w:pPr>
            <w:r>
              <w:rPr>
                <w:b/>
                <w:color w:val="000000"/>
                <w:sz w:val="28"/>
              </w:rPr>
              <w:t>1.2.3.7.核心业务集群管理交换机（2台）配置要求</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31"/>
              <w:gridCol w:w="434"/>
              <w:gridCol w:w="514"/>
              <w:gridCol w:w="437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参数性质</w:t>
                  </w:r>
                </w:p>
              </w:tc>
              <w:tc>
                <w:tcPr>
                  <w:tcW w:w="31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序号</w:t>
                  </w:r>
                </w:p>
              </w:tc>
              <w:tc>
                <w:tcPr>
                  <w:tcW w:w="51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需求名称</w:t>
                  </w:r>
                </w:p>
              </w:tc>
              <w:tc>
                <w:tcPr>
                  <w:tcW w:w="437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需求/功能描述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w:t>
                  </w:r>
                </w:p>
              </w:tc>
              <w:tc>
                <w:tcPr>
                  <w:tcW w:w="51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网络接口</w:t>
                  </w:r>
                </w:p>
              </w:tc>
              <w:tc>
                <w:tcPr>
                  <w:tcW w:w="43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具备万兆SFP+光口≥24个，千兆电口≥24个，40GQSFP+光口≥2个；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w:t>
                  </w:r>
                </w:p>
              </w:tc>
              <w:tc>
                <w:tcPr>
                  <w:tcW w:w="51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性能</w:t>
                  </w:r>
                </w:p>
              </w:tc>
              <w:tc>
                <w:tcPr>
                  <w:tcW w:w="43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交换性能≥2.5Tbps，包转发率≥1300Mpps；</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w:t>
                  </w:r>
                </w:p>
              </w:tc>
              <w:tc>
                <w:tcPr>
                  <w:tcW w:w="51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电源</w:t>
                  </w:r>
                </w:p>
              </w:tc>
              <w:tc>
                <w:tcPr>
                  <w:tcW w:w="43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支持可热插拔双电源模块1+1冗余；</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w:t>
                  </w:r>
                </w:p>
              </w:tc>
              <w:tc>
                <w:tcPr>
                  <w:tcW w:w="51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基本功能</w:t>
                  </w:r>
                </w:p>
              </w:tc>
              <w:tc>
                <w:tcPr>
                  <w:tcW w:w="43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支持MAC地址≥32K，支持MAC地址自动学习、源MAC地址过滤、接口MAC地址学习个数限制；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w:t>
                  </w:r>
                </w:p>
              </w:tc>
              <w:tc>
                <w:tcPr>
                  <w:tcW w:w="514" w:type="dxa"/>
                  <w:vMerge w:val="continue"/>
                  <w:tcBorders>
                    <w:top w:val="nil"/>
                    <w:left w:val="nil"/>
                    <w:bottom w:val="single" w:color="000000" w:sz="4" w:space="0"/>
                    <w:right w:val="single" w:color="000000" w:sz="4" w:space="0"/>
                  </w:tcBorders>
                </w:tcPr>
                <w:p/>
              </w:tc>
              <w:tc>
                <w:tcPr>
                  <w:tcW w:w="43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支持基于端口或堆叠口的ACL策略、基于源目IP/MAC地址的ACL策略、基于协议的ACL策略、基于时间的ACL策略；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w:t>
                  </w:r>
                </w:p>
              </w:tc>
              <w:tc>
                <w:tcPr>
                  <w:tcW w:w="514" w:type="dxa"/>
                  <w:vMerge w:val="continue"/>
                  <w:tcBorders>
                    <w:top w:val="nil"/>
                    <w:left w:val="nil"/>
                    <w:bottom w:val="single" w:color="000000" w:sz="4" w:space="0"/>
                    <w:right w:val="single" w:color="000000" w:sz="4" w:space="0"/>
                  </w:tcBorders>
                </w:tcPr>
                <w:p/>
              </w:tc>
              <w:tc>
                <w:tcPr>
                  <w:tcW w:w="43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支持STP、RSTP、MSTP防环协议；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w:t>
                  </w:r>
                </w:p>
              </w:tc>
              <w:tc>
                <w:tcPr>
                  <w:tcW w:w="514" w:type="dxa"/>
                  <w:vMerge w:val="continue"/>
                  <w:tcBorders>
                    <w:top w:val="nil"/>
                    <w:left w:val="nil"/>
                    <w:bottom w:val="single" w:color="000000" w:sz="4" w:space="0"/>
                    <w:right w:val="single" w:color="000000" w:sz="4" w:space="0"/>
                  </w:tcBorders>
                </w:tcPr>
                <w:p/>
              </w:tc>
              <w:tc>
                <w:tcPr>
                  <w:tcW w:w="43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支持终端IP-MAC绑定，当IP+MAC不对应时，可以将终端加入黑名单实现断开终端流量；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8</w:t>
                  </w:r>
                </w:p>
              </w:tc>
              <w:tc>
                <w:tcPr>
                  <w:tcW w:w="514" w:type="dxa"/>
                  <w:vMerge w:val="continue"/>
                  <w:tcBorders>
                    <w:top w:val="nil"/>
                    <w:left w:val="nil"/>
                    <w:bottom w:val="single" w:color="000000" w:sz="4" w:space="0"/>
                    <w:right w:val="single" w:color="000000" w:sz="4" w:space="0"/>
                  </w:tcBorders>
                </w:tcPr>
                <w:p/>
              </w:tc>
              <w:tc>
                <w:tcPr>
                  <w:tcW w:w="43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支持M-LAG技术，跨设备链路聚合（非堆叠技术实现），要求配对的设备有独立的控制平面。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9</w:t>
                  </w:r>
                </w:p>
              </w:tc>
              <w:tc>
                <w:tcPr>
                  <w:tcW w:w="51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配件</w:t>
                  </w:r>
                </w:p>
              </w:tc>
              <w:tc>
                <w:tcPr>
                  <w:tcW w:w="43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实配不少于18根光纤线、36个万兆多模光模块、1根3米40G堆叠线缆；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10</w:t>
                  </w:r>
                </w:p>
              </w:tc>
              <w:tc>
                <w:tcPr>
                  <w:tcW w:w="51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保修</w:t>
                  </w:r>
                </w:p>
              </w:tc>
              <w:tc>
                <w:tcPr>
                  <w:tcW w:w="43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1"/>
                    </w:rPr>
                    <w:t>3年7×24小时维保</w:t>
                  </w:r>
                </w:p>
              </w:tc>
            </w:tr>
          </w:tbl>
          <w:p>
            <w:pPr>
              <w:pStyle w:val="4"/>
              <w:spacing w:before="150" w:after="150"/>
              <w:jc w:val="left"/>
              <w:outlineLvl w:val="1"/>
            </w:pPr>
            <w:r>
              <w:rPr>
                <w:b/>
                <w:color w:val="000000"/>
                <w:sz w:val="28"/>
              </w:rPr>
              <w:t>1.2.3.8.DMZ服务区集群（4台）配置要求</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31"/>
              <w:gridCol w:w="431"/>
              <w:gridCol w:w="559"/>
              <w:gridCol w:w="436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参数性质</w:t>
                  </w:r>
                </w:p>
              </w:tc>
              <w:tc>
                <w:tcPr>
                  <w:tcW w:w="30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序号</w:t>
                  </w:r>
                </w:p>
              </w:tc>
              <w:tc>
                <w:tcPr>
                  <w:tcW w:w="5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需求名称</w:t>
                  </w:r>
                </w:p>
              </w:tc>
              <w:tc>
                <w:tcPr>
                  <w:tcW w:w="43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需求/功能描述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0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规格</w:t>
                  </w:r>
                </w:p>
              </w:tc>
              <w:tc>
                <w:tcPr>
                  <w:tcW w:w="436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标准机架式2U服务器；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0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处理器</w:t>
                  </w:r>
                </w:p>
              </w:tc>
              <w:tc>
                <w:tcPr>
                  <w:tcW w:w="436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1"/>
                    </w:rPr>
                    <w:t>不低于2颗第三代可扩展处理器（2.60GHZ/32C）；</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0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内存</w:t>
                  </w:r>
                </w:p>
              </w:tc>
              <w:tc>
                <w:tcPr>
                  <w:tcW w:w="436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1"/>
                    </w:rPr>
                    <w:t>不少于内存容量128G；</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0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存储</w:t>
                  </w:r>
                </w:p>
              </w:tc>
              <w:tc>
                <w:tcPr>
                  <w:tcW w:w="436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1"/>
                    </w:rPr>
                    <w:t>≧4×3.84T SSD SATA 2.5英寸硬盘,支持热插拔；</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0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raid卡</w:t>
                  </w:r>
                </w:p>
              </w:tc>
              <w:tc>
                <w:tcPr>
                  <w:tcW w:w="436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1"/>
                    </w:rPr>
                    <w:t>支持JBOD/RAID0/RAID1/RAID10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0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风扇</w:t>
                  </w:r>
                </w:p>
              </w:tc>
              <w:tc>
                <w:tcPr>
                  <w:tcW w:w="436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1"/>
                    </w:rPr>
                    <w:t>支持4个风扇模块，支持热插拔，支持N+1冗余</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0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网络接口</w:t>
                  </w:r>
                </w:p>
              </w:tc>
              <w:tc>
                <w:tcPr>
                  <w:tcW w:w="436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2千兆电口+4万兆光口；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0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8</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电源</w:t>
                  </w:r>
                </w:p>
              </w:tc>
              <w:tc>
                <w:tcPr>
                  <w:tcW w:w="436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1"/>
                    </w:rPr>
                    <w:t>冗余电源（1300W白金交流电源）；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0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9</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保修</w:t>
                  </w:r>
                </w:p>
              </w:tc>
              <w:tc>
                <w:tcPr>
                  <w:tcW w:w="436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1"/>
                    </w:rPr>
                    <w:t>三年产品质保及软件升级，7×24小时服务。</w:t>
                  </w:r>
                </w:p>
              </w:tc>
            </w:tr>
          </w:tbl>
          <w:p>
            <w:pPr>
              <w:pStyle w:val="4"/>
              <w:spacing w:before="150" w:after="150"/>
              <w:jc w:val="left"/>
              <w:outlineLvl w:val="1"/>
            </w:pPr>
            <w:r>
              <w:rPr>
                <w:b/>
                <w:color w:val="000000"/>
                <w:sz w:val="28"/>
              </w:rPr>
              <w:t>1.2.3.9.DMZ服务区集群虚拟化软件（8套）配置要求</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31"/>
              <w:gridCol w:w="434"/>
              <w:gridCol w:w="637"/>
              <w:gridCol w:w="4377"/>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参数性质</w:t>
                  </w:r>
                </w:p>
              </w:tc>
              <w:tc>
                <w:tcPr>
                  <w:tcW w:w="31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序号</w:t>
                  </w:r>
                </w:p>
              </w:tc>
              <w:tc>
                <w:tcPr>
                  <w:tcW w:w="51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需求名称</w:t>
                  </w:r>
                </w:p>
              </w:tc>
              <w:tc>
                <w:tcPr>
                  <w:tcW w:w="437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需求/功能描述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w:t>
                  </w:r>
                </w:p>
              </w:tc>
              <w:tc>
                <w:tcPr>
                  <w:tcW w:w="51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DMZ服务区集群虚拟化软件</w:t>
                  </w:r>
                </w:p>
              </w:tc>
              <w:tc>
                <w:tcPr>
                  <w:tcW w:w="43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DMZ服务区集群虚拟化软件需提供计算服务器虚拟化软件授权，网络虚拟化软件授权，虚拟存储软件授权，安全虚拟化软件授权，云计算管理软件授权，软件升级不少于3年。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w:t>
                  </w:r>
                </w:p>
              </w:tc>
              <w:tc>
                <w:tcPr>
                  <w:tcW w:w="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w:t>
                  </w:r>
                </w:p>
              </w:tc>
              <w:tc>
                <w:tcPr>
                  <w:tcW w:w="516" w:type="dxa"/>
                  <w:vMerge w:val="continue"/>
                  <w:tcBorders>
                    <w:top w:val="nil"/>
                    <w:left w:val="nil"/>
                    <w:bottom w:val="single" w:color="000000" w:sz="4" w:space="0"/>
                    <w:right w:val="single" w:color="000000" w:sz="4" w:space="0"/>
                  </w:tcBorders>
                </w:tcPr>
                <w:p/>
              </w:tc>
              <w:tc>
                <w:tcPr>
                  <w:tcW w:w="43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云计算管理平台，和底层资源池部分的（计算虚拟化、存储虚拟化、网络虚拟化）均为同一厂商品牌提供，并可以支持扩展同一品牌的网络和安全虚拟化（虚拟应用防火墙、虚拟应用负载均衡等）功能组件，以保障平台的扩展性和兼容性。（需提供通过序列号方式扩展产品功能的截图，并加盖原厂公章或投标人公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w:t>
                  </w:r>
                </w:p>
              </w:tc>
              <w:tc>
                <w:tcPr>
                  <w:tcW w:w="516" w:type="dxa"/>
                  <w:vMerge w:val="continue"/>
                  <w:tcBorders>
                    <w:top w:val="nil"/>
                    <w:left w:val="nil"/>
                    <w:bottom w:val="single" w:color="000000" w:sz="4" w:space="0"/>
                    <w:right w:val="single" w:color="000000" w:sz="4" w:space="0"/>
                  </w:tcBorders>
                </w:tcPr>
                <w:p/>
              </w:tc>
              <w:tc>
                <w:tcPr>
                  <w:tcW w:w="43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支持大屏展示便于客户直观查看虚拟化资源池的使用情况和健康状态，包括集群资源情况，各主机资源使用情况，包括内存/CPU/磁盘使用趋势，以及集群故障与告警等。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w:t>
                  </w:r>
                </w:p>
              </w:tc>
              <w:tc>
                <w:tcPr>
                  <w:tcW w:w="516" w:type="dxa"/>
                  <w:vMerge w:val="continue"/>
                  <w:tcBorders>
                    <w:top w:val="nil"/>
                    <w:left w:val="nil"/>
                    <w:bottom w:val="single" w:color="000000" w:sz="4" w:space="0"/>
                    <w:right w:val="single" w:color="000000" w:sz="4" w:space="0"/>
                  </w:tcBorders>
                </w:tcPr>
                <w:p/>
              </w:tc>
              <w:tc>
                <w:tcPr>
                  <w:tcW w:w="43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支持上传或利用现有云主机创建镜像，可对镜像进行管理、关联资源池等操作，可通过镜像实现一键快速创建云主机及安全组件。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w:t>
                  </w:r>
                </w:p>
              </w:tc>
              <w:tc>
                <w:tcPr>
                  <w:tcW w:w="516" w:type="dxa"/>
                  <w:vMerge w:val="continue"/>
                  <w:tcBorders>
                    <w:top w:val="nil"/>
                    <w:left w:val="nil"/>
                    <w:bottom w:val="single" w:color="000000" w:sz="4" w:space="0"/>
                    <w:right w:val="single" w:color="000000" w:sz="4" w:space="0"/>
                  </w:tcBorders>
                </w:tcPr>
                <w:p/>
              </w:tc>
              <w:tc>
                <w:tcPr>
                  <w:tcW w:w="43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平台中的集群资源环境一键健康检测，可以选择检测对象，包括系统运行状态检测（系统服务检测、配置文件检测、系统分区检测、存储空间检测）、系统配置检测（网口配置检测）、硬件健康检测（CPU检测、内存检测、网卡检测、硬盘基本功能检测）可以点击开始检测按钮对检测对象进行检测操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w:t>
                  </w:r>
                </w:p>
              </w:tc>
              <w:tc>
                <w:tcPr>
                  <w:tcW w:w="516" w:type="dxa"/>
                  <w:vMerge w:val="continue"/>
                  <w:tcBorders>
                    <w:top w:val="nil"/>
                    <w:left w:val="nil"/>
                    <w:bottom w:val="single" w:color="000000" w:sz="4" w:space="0"/>
                    <w:right w:val="single" w:color="000000" w:sz="4" w:space="0"/>
                  </w:tcBorders>
                </w:tcPr>
                <w:p/>
              </w:tc>
              <w:tc>
                <w:tcPr>
                  <w:tcW w:w="43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支持对超融合平台的硬件进行监控和大屏展示，包含CPU、内存、网卡、硬盘、存储、RAID等硬件健康检测，便于及时发现问题并提供相应异常检测项的恢复指导建议。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w:t>
                  </w:r>
                </w:p>
              </w:tc>
              <w:tc>
                <w:tcPr>
                  <w:tcW w:w="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w:t>
                  </w:r>
                </w:p>
              </w:tc>
              <w:tc>
                <w:tcPr>
                  <w:tcW w:w="516" w:type="dxa"/>
                  <w:vMerge w:val="continue"/>
                  <w:tcBorders>
                    <w:top w:val="nil"/>
                    <w:left w:val="nil"/>
                    <w:bottom w:val="single" w:color="000000" w:sz="4" w:space="0"/>
                    <w:right w:val="single" w:color="000000" w:sz="4" w:space="0"/>
                  </w:tcBorders>
                </w:tcPr>
                <w:p/>
              </w:tc>
              <w:tc>
                <w:tcPr>
                  <w:tcW w:w="43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支持云平台在线升级，且升级过程中需支持对升级节点进行升级顺序编排、升级暂停。（需提供产品功能截图，并加盖原厂公章或投标人公章）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8</w:t>
                  </w:r>
                </w:p>
              </w:tc>
              <w:tc>
                <w:tcPr>
                  <w:tcW w:w="516" w:type="dxa"/>
                  <w:vMerge w:val="continue"/>
                  <w:tcBorders>
                    <w:top w:val="nil"/>
                    <w:left w:val="nil"/>
                    <w:bottom w:val="single" w:color="000000" w:sz="4" w:space="0"/>
                    <w:right w:val="single" w:color="000000" w:sz="4" w:space="0"/>
                  </w:tcBorders>
                </w:tcPr>
                <w:p/>
              </w:tc>
              <w:tc>
                <w:tcPr>
                  <w:tcW w:w="43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为了方便业务运维，超融合平台应该支持虚拟机在运行状态将磁盘分配模式从精简改为预分配，不需要重启即可立即生效。</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9</w:t>
                  </w:r>
                </w:p>
              </w:tc>
              <w:tc>
                <w:tcPr>
                  <w:tcW w:w="516" w:type="dxa"/>
                  <w:vMerge w:val="continue"/>
                  <w:tcBorders>
                    <w:top w:val="nil"/>
                    <w:left w:val="nil"/>
                    <w:bottom w:val="single" w:color="000000" w:sz="4" w:space="0"/>
                    <w:right w:val="single" w:color="000000" w:sz="4" w:space="0"/>
                  </w:tcBorders>
                </w:tcPr>
                <w:p/>
              </w:tc>
              <w:tc>
                <w:tcPr>
                  <w:tcW w:w="43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可以查看高可用（HA）配置页面信息，包括故障检测敏感度和故障迁移选项，可以对故障检测敏感度进行设置，包括高、中高、中、中低和低，可以查看故障迁移列表项，包括管理通信口、虚拟机直接或间隔一个交换机连接的物理出口、虚拟机所在存储和启用HA。</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10</w:t>
                  </w:r>
                </w:p>
              </w:tc>
              <w:tc>
                <w:tcPr>
                  <w:tcW w:w="516" w:type="dxa"/>
                  <w:vMerge w:val="continue"/>
                  <w:tcBorders>
                    <w:top w:val="nil"/>
                    <w:left w:val="nil"/>
                    <w:bottom w:val="single" w:color="000000" w:sz="4" w:space="0"/>
                    <w:right w:val="single" w:color="000000" w:sz="4" w:space="0"/>
                  </w:tcBorders>
                </w:tcPr>
                <w:p/>
              </w:tc>
              <w:tc>
                <w:tcPr>
                  <w:tcW w:w="43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支持虚拟机的无代理备份，能提供虚拟机高性能备份功能，无备份数据容量限制，可将直接将虚拟机备份到磁盘，并支持生成全新虚拟机的方式进行恢复。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11</w:t>
                  </w:r>
                </w:p>
              </w:tc>
              <w:tc>
                <w:tcPr>
                  <w:tcW w:w="516" w:type="dxa"/>
                  <w:vMerge w:val="continue"/>
                  <w:tcBorders>
                    <w:top w:val="nil"/>
                    <w:left w:val="nil"/>
                    <w:bottom w:val="single" w:color="000000" w:sz="4" w:space="0"/>
                    <w:right w:val="single" w:color="000000" w:sz="4" w:space="0"/>
                  </w:tcBorders>
                </w:tcPr>
                <w:p/>
              </w:tc>
              <w:tc>
                <w:tcPr>
                  <w:tcW w:w="43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可以进行热迁移操作，并查看迁移任务详情，包括状态、起始时间、主机和描述时间。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12</w:t>
                  </w:r>
                </w:p>
              </w:tc>
              <w:tc>
                <w:tcPr>
                  <w:tcW w:w="516" w:type="dxa"/>
                  <w:vMerge w:val="continue"/>
                  <w:tcBorders>
                    <w:top w:val="nil"/>
                    <w:left w:val="nil"/>
                    <w:bottom w:val="single" w:color="000000" w:sz="4" w:space="0"/>
                    <w:right w:val="single" w:color="000000" w:sz="4" w:space="0"/>
                  </w:tcBorders>
                </w:tcPr>
                <w:p/>
              </w:tc>
              <w:tc>
                <w:tcPr>
                  <w:tcW w:w="43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虚拟机迁移支持指定网口迁移、限制迁移速度、启用压缩传输，同时虚拟机迁移过程中如因数据写入量过大迁移不完，可支持强制切换操作。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w:t>
                  </w:r>
                </w:p>
              </w:tc>
              <w:tc>
                <w:tcPr>
                  <w:tcW w:w="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13</w:t>
                  </w:r>
                </w:p>
              </w:tc>
              <w:tc>
                <w:tcPr>
                  <w:tcW w:w="516" w:type="dxa"/>
                  <w:vMerge w:val="continue"/>
                  <w:tcBorders>
                    <w:top w:val="nil"/>
                    <w:left w:val="nil"/>
                    <w:bottom w:val="single" w:color="000000" w:sz="4" w:space="0"/>
                    <w:right w:val="single" w:color="000000" w:sz="4" w:space="0"/>
                  </w:tcBorders>
                </w:tcPr>
                <w:p/>
              </w:tc>
              <w:tc>
                <w:tcPr>
                  <w:tcW w:w="43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为避免平台虚拟机误删操作，需支持点击还原按钮，还原回收站列表指定项，可设置回收站文件保留天数，可以查看回收站列表项信息，包括名称、描述、存储和删除时间和保留时间。（需提供产品功能截图，并加盖厂商公章或投标人公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w:t>
                  </w:r>
                </w:p>
              </w:tc>
              <w:tc>
                <w:tcPr>
                  <w:tcW w:w="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14</w:t>
                  </w:r>
                </w:p>
              </w:tc>
              <w:tc>
                <w:tcPr>
                  <w:tcW w:w="516" w:type="dxa"/>
                  <w:vMerge w:val="continue"/>
                  <w:tcBorders>
                    <w:top w:val="nil"/>
                    <w:left w:val="nil"/>
                    <w:bottom w:val="single" w:color="000000" w:sz="4" w:space="0"/>
                    <w:right w:val="single" w:color="000000" w:sz="4" w:space="0"/>
                  </w:tcBorders>
                </w:tcPr>
                <w:p/>
              </w:tc>
              <w:tc>
                <w:tcPr>
                  <w:tcW w:w="43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支持内存ECC自动纠错机制，当扫描到物理主机的内存条出现ECC CE和UE错误时，能够将对应内存空间进行隔离并定位故障内存的槽位，减少硬件问题对业务的影响。（提供带有CMA、CNAS标识的检测报告证明，至少包含报告首页，对应功能测试页和报告尾页，并加盖原厂公章或投标人公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15</w:t>
                  </w:r>
                </w:p>
              </w:tc>
              <w:tc>
                <w:tcPr>
                  <w:tcW w:w="516" w:type="dxa"/>
                  <w:vMerge w:val="continue"/>
                  <w:tcBorders>
                    <w:top w:val="nil"/>
                    <w:left w:val="nil"/>
                    <w:bottom w:val="single" w:color="000000" w:sz="4" w:space="0"/>
                    <w:right w:val="single" w:color="000000" w:sz="4" w:space="0"/>
                  </w:tcBorders>
                </w:tcPr>
                <w:p/>
              </w:tc>
              <w:tc>
                <w:tcPr>
                  <w:tcW w:w="43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支持选择多种克隆方式，包括快速全量克隆、全量克隆和链接克隆，可查看通过链接克隆的虚拟机是否运行正常，可以设置克隆完成后自动启动克隆虚拟机操作。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w:t>
                  </w:r>
                </w:p>
              </w:tc>
              <w:tc>
                <w:tcPr>
                  <w:tcW w:w="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16</w:t>
                  </w:r>
                </w:p>
              </w:tc>
              <w:tc>
                <w:tcPr>
                  <w:tcW w:w="516" w:type="dxa"/>
                  <w:vMerge w:val="continue"/>
                  <w:tcBorders>
                    <w:top w:val="nil"/>
                    <w:left w:val="nil"/>
                    <w:bottom w:val="single" w:color="000000" w:sz="4" w:space="0"/>
                    <w:right w:val="single" w:color="000000" w:sz="4" w:space="0"/>
                  </w:tcBorders>
                </w:tcPr>
                <w:p/>
              </w:tc>
              <w:tc>
                <w:tcPr>
                  <w:tcW w:w="43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由于硬件故障对平台影响较大，也会影响数据安全，为保障业务在硬件故障后尽快恢复冗余数据保障，支持进行数据重建操作，重建速率达到30分钟/TB；重建过程中可以查看数据重建任务列表信息，包括对象名称、对象类型、数据量和优先级等；支持点击操作中的优先级对数据重建进行优先重建。（提供带有CMA、CNAS标识的检测报告证明，至少包含报告首页，对应功能测试页和报告尾页，并加盖原厂公章或投标人公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17</w:t>
                  </w:r>
                </w:p>
              </w:tc>
              <w:tc>
                <w:tcPr>
                  <w:tcW w:w="516" w:type="dxa"/>
                  <w:vMerge w:val="continue"/>
                  <w:tcBorders>
                    <w:top w:val="nil"/>
                    <w:left w:val="nil"/>
                    <w:bottom w:val="single" w:color="000000" w:sz="4" w:space="0"/>
                    <w:right w:val="single" w:color="000000" w:sz="4" w:space="0"/>
                  </w:tcBorders>
                </w:tcPr>
                <w:p/>
              </w:tc>
              <w:tc>
                <w:tcPr>
                  <w:tcW w:w="43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支持数据重建智能保护业务性能，可以对数据重建速度进行智能限速，避免数据重建过程中IO性能占用导致对业务的性能造成影响。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w:t>
                  </w:r>
                </w:p>
              </w:tc>
              <w:tc>
                <w:tcPr>
                  <w:tcW w:w="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18</w:t>
                  </w:r>
                </w:p>
              </w:tc>
              <w:tc>
                <w:tcPr>
                  <w:tcW w:w="516" w:type="dxa"/>
                  <w:vMerge w:val="continue"/>
                  <w:tcBorders>
                    <w:top w:val="nil"/>
                    <w:left w:val="nil"/>
                    <w:bottom w:val="single" w:color="000000" w:sz="4" w:space="0"/>
                    <w:right w:val="single" w:color="000000" w:sz="4" w:space="0"/>
                  </w:tcBorders>
                </w:tcPr>
                <w:p/>
              </w:tc>
              <w:tc>
                <w:tcPr>
                  <w:tcW w:w="43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由于磁盘卡慢盘可能拖累平台性能导致业务卡顿，为保证磁盘健康，当服务器硬件出现HDD卡慢盘时，可以在磁盘管理界面显示并告警，可以对HDD的卡慢盘进行自动隔离。（需提供带有CNAS标识的检测报告证明，至少包含报告首页，对应功能测试页和报告尾页，并加盖原厂公章或投标人公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w:t>
                  </w:r>
                </w:p>
              </w:tc>
              <w:tc>
                <w:tcPr>
                  <w:tcW w:w="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19</w:t>
                  </w:r>
                </w:p>
              </w:tc>
              <w:tc>
                <w:tcPr>
                  <w:tcW w:w="516" w:type="dxa"/>
                  <w:vMerge w:val="continue"/>
                  <w:tcBorders>
                    <w:top w:val="nil"/>
                    <w:left w:val="nil"/>
                    <w:bottom w:val="single" w:color="000000" w:sz="4" w:space="0"/>
                    <w:right w:val="single" w:color="000000" w:sz="4" w:space="0"/>
                  </w:tcBorders>
                </w:tcPr>
                <w:p/>
              </w:tc>
              <w:tc>
                <w:tcPr>
                  <w:tcW w:w="43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基本资源监控功能，查看CPU、网络和磁盘已使用实时数据信息，最小监控粒度可达到20s，可以点击告警设置对CPU、网络和磁盘进行占用阈值设置操作，可以以告警通知。（需提供产品功能截图，并加盖厂商公章或投标人公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20</w:t>
                  </w:r>
                </w:p>
              </w:tc>
              <w:tc>
                <w:tcPr>
                  <w:tcW w:w="516" w:type="dxa"/>
                  <w:vMerge w:val="continue"/>
                  <w:tcBorders>
                    <w:top w:val="nil"/>
                    <w:left w:val="nil"/>
                    <w:bottom w:val="single" w:color="000000" w:sz="4" w:space="0"/>
                    <w:right w:val="single" w:color="000000" w:sz="4" w:space="0"/>
                  </w:tcBorders>
                </w:tcPr>
                <w:p/>
              </w:tc>
              <w:tc>
                <w:tcPr>
                  <w:tcW w:w="43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通过License激活的方式，实现网络虚拟化功能（分布式虚拟交换机、虚拟路由器、虚拟应用防火墙、虚拟应用负载均衡），支持Vxlan网络和现有的Vlan网络对接，实现虚拟化平台与原有网络的兼容性。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21</w:t>
                  </w:r>
                </w:p>
              </w:tc>
              <w:tc>
                <w:tcPr>
                  <w:tcW w:w="516" w:type="dxa"/>
                  <w:vMerge w:val="continue"/>
                  <w:tcBorders>
                    <w:top w:val="nil"/>
                    <w:left w:val="nil"/>
                    <w:bottom w:val="single" w:color="000000" w:sz="4" w:space="0"/>
                    <w:right w:val="single" w:color="000000" w:sz="4" w:space="0"/>
                  </w:tcBorders>
                </w:tcPr>
                <w:p/>
              </w:tc>
              <w:tc>
                <w:tcPr>
                  <w:tcW w:w="43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本次配置不限制虚拟路由器创建数量，虚拟路由器支持HA功能，当虚拟路由器运行的主机出现故障时，可以实现故障自动恢复，保障业务的高可靠性。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w:t>
                  </w:r>
                </w:p>
              </w:tc>
              <w:tc>
                <w:tcPr>
                  <w:tcW w:w="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22</w:t>
                  </w:r>
                </w:p>
              </w:tc>
              <w:tc>
                <w:tcPr>
                  <w:tcW w:w="516" w:type="dxa"/>
                  <w:vMerge w:val="continue"/>
                  <w:tcBorders>
                    <w:top w:val="nil"/>
                    <w:left w:val="nil"/>
                    <w:bottom w:val="single" w:color="000000" w:sz="4" w:space="0"/>
                    <w:right w:val="single" w:color="000000" w:sz="4" w:space="0"/>
                  </w:tcBorders>
                </w:tcPr>
                <w:p/>
              </w:tc>
              <w:tc>
                <w:tcPr>
                  <w:tcW w:w="43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在图形化管理平台上，通过托、拉、拽方式完成虚拟网络拓扑构建，可以在网络拓扑页面通过功能按键，实现虚拟网络连接、开启和关闭等操作。（需提供带有CMA、CNAS标识的检测报告证明，至少包含报告首页，对应功能测试页和报告尾页，并加盖原厂公章或投标人公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23</w:t>
                  </w:r>
                </w:p>
              </w:tc>
              <w:tc>
                <w:tcPr>
                  <w:tcW w:w="516" w:type="dxa"/>
                  <w:vMerge w:val="continue"/>
                  <w:tcBorders>
                    <w:top w:val="nil"/>
                    <w:left w:val="nil"/>
                    <w:bottom w:val="single" w:color="000000" w:sz="4" w:space="0"/>
                    <w:right w:val="single" w:color="000000" w:sz="4" w:space="0"/>
                  </w:tcBorders>
                </w:tcPr>
                <w:p/>
              </w:tc>
              <w:tc>
                <w:tcPr>
                  <w:tcW w:w="43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可以支持手动指定虚拟路由器运行在固定的物理主机上，可以自动将虚拟路由器规划到高性能和高吞吐的物理主机上。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w:t>
                  </w:r>
                </w:p>
              </w:tc>
              <w:tc>
                <w:tcPr>
                  <w:tcW w:w="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24</w:t>
                  </w:r>
                </w:p>
              </w:tc>
              <w:tc>
                <w:tcPr>
                  <w:tcW w:w="516" w:type="dxa"/>
                  <w:vMerge w:val="continue"/>
                  <w:tcBorders>
                    <w:top w:val="nil"/>
                    <w:left w:val="nil"/>
                    <w:bottom w:val="single" w:color="000000" w:sz="4" w:space="0"/>
                    <w:right w:val="single" w:color="000000" w:sz="4" w:space="0"/>
                  </w:tcBorders>
                </w:tcPr>
                <w:p/>
              </w:tc>
              <w:tc>
                <w:tcPr>
                  <w:tcW w:w="43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跳转连通性探测页面，可以设置探测对象信息，包括网口、对象类型、IP地址，可以点击开始探测按钮查看探测页面信息，可以在网络连通性探测页面查看网络探测是否成功。（需提供带有CNAS标识的检测报告证明，至少包含报告首页，对应功能测试页和报告尾页，并加盖原厂公章或投标人公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25</w:t>
                  </w:r>
                </w:p>
              </w:tc>
              <w:tc>
                <w:tcPr>
                  <w:tcW w:w="516" w:type="dxa"/>
                  <w:vMerge w:val="continue"/>
                  <w:tcBorders>
                    <w:top w:val="nil"/>
                    <w:left w:val="nil"/>
                    <w:bottom w:val="single" w:color="000000" w:sz="4" w:space="0"/>
                    <w:right w:val="single" w:color="000000" w:sz="4" w:space="0"/>
                  </w:tcBorders>
                </w:tcPr>
                <w:p/>
              </w:tc>
              <w:tc>
                <w:tcPr>
                  <w:tcW w:w="43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需提供网络可视化组件，可在图形化界面上观察到所有虚拟机的流量走向与访问关系，包括源对象、源IP、目标对象、目的IP、访问次数、服务类型、动作等。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26</w:t>
                  </w:r>
                </w:p>
              </w:tc>
              <w:tc>
                <w:tcPr>
                  <w:tcW w:w="516" w:type="dxa"/>
                  <w:vMerge w:val="continue"/>
                  <w:tcBorders>
                    <w:top w:val="nil"/>
                    <w:left w:val="nil"/>
                    <w:bottom w:val="single" w:color="000000" w:sz="4" w:space="0"/>
                    <w:right w:val="single" w:color="000000" w:sz="4" w:space="0"/>
                  </w:tcBorders>
                </w:tcPr>
                <w:p/>
              </w:tc>
              <w:tc>
                <w:tcPr>
                  <w:tcW w:w="43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云安全中心需集成于虚拟化平台中，一体化方式交付，无需第三方平台承载，平台必须能够提供虚拟主机安全防护安全能力,并对检测到的恶意活动可自动采取分布式防火墙隔离虚拟机、为虚拟机拍摄快照等防护手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27</w:t>
                  </w:r>
                </w:p>
              </w:tc>
              <w:tc>
                <w:tcPr>
                  <w:tcW w:w="516" w:type="dxa"/>
                  <w:vMerge w:val="continue"/>
                  <w:tcBorders>
                    <w:top w:val="nil"/>
                    <w:left w:val="nil"/>
                    <w:bottom w:val="single" w:color="000000" w:sz="4" w:space="0"/>
                    <w:right w:val="single" w:color="000000" w:sz="4" w:space="0"/>
                  </w:tcBorders>
                </w:tcPr>
                <w:p/>
              </w:tc>
              <w:tc>
                <w:tcPr>
                  <w:tcW w:w="43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为便于运维人员及时获取平台安全情况，云安全中心需要支持安全事件展示、安全风险分析、风险趋势分析、告警与处置记录、病毒和漏洞扫描记录，并实施监控虚拟机的防护状态。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w:t>
                  </w:r>
                </w:p>
              </w:tc>
              <w:tc>
                <w:tcPr>
                  <w:tcW w:w="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28</w:t>
                  </w:r>
                </w:p>
              </w:tc>
              <w:tc>
                <w:tcPr>
                  <w:tcW w:w="516" w:type="dxa"/>
                  <w:vMerge w:val="continue"/>
                  <w:tcBorders>
                    <w:top w:val="nil"/>
                    <w:left w:val="nil"/>
                    <w:bottom w:val="single" w:color="000000" w:sz="4" w:space="0"/>
                    <w:right w:val="single" w:color="000000" w:sz="4" w:space="0"/>
                  </w:tcBorders>
                </w:tcPr>
                <w:p/>
              </w:tc>
              <w:tc>
                <w:tcPr>
                  <w:tcW w:w="43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基于业务安全性和运维高效性考虑，需要虚拟化平台支持在虚拟机安装性能优化工具时自动安装组件功能对操作系统进行安全防护。（需提供具有CMA、CNAS资质的第三方测试机构的证明材料，至少包含报告首页，对应功能测试页和报告尾页，并加盖原厂公章或投标人公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29</w:t>
                  </w:r>
                </w:p>
              </w:tc>
              <w:tc>
                <w:tcPr>
                  <w:tcW w:w="516" w:type="dxa"/>
                  <w:vMerge w:val="continue"/>
                  <w:tcBorders>
                    <w:top w:val="nil"/>
                    <w:left w:val="nil"/>
                    <w:bottom w:val="single" w:color="000000" w:sz="4" w:space="0"/>
                    <w:right w:val="single" w:color="000000" w:sz="4" w:space="0"/>
                  </w:tcBorders>
                </w:tcPr>
                <w:p/>
              </w:tc>
              <w:tc>
                <w:tcPr>
                  <w:tcW w:w="43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基于业务虚拟机安全考虑，需要云平台支持支持对虚拟机漏洞情况进行扫描，查看漏洞详情并恢复。包括检测时间、检测来源、解决建议、修复流程等。并可以扫描出的漏洞修复能力。</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w:t>
                  </w:r>
                </w:p>
              </w:tc>
              <w:tc>
                <w:tcPr>
                  <w:tcW w:w="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30</w:t>
                  </w:r>
                </w:p>
              </w:tc>
              <w:tc>
                <w:tcPr>
                  <w:tcW w:w="516" w:type="dxa"/>
                  <w:vMerge w:val="continue"/>
                  <w:tcBorders>
                    <w:top w:val="nil"/>
                    <w:left w:val="nil"/>
                    <w:bottom w:val="single" w:color="000000" w:sz="4" w:space="0"/>
                    <w:right w:val="single" w:color="000000" w:sz="4" w:space="0"/>
                  </w:tcBorders>
                </w:tcPr>
                <w:p/>
              </w:tc>
              <w:tc>
                <w:tcPr>
                  <w:tcW w:w="43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提供向导化勒索病毒处理流程，包括紧急隔离、保留当前状态、恢复云主机、扫描病毒、恢复网络。并支持事前勒索病毒防护、事中检测疑似勒索可打自动对虚拟机打快照、事后勒索病毒向导化处理。（需提供具有CMA、CNAS资质的第三方测试机构的证明材料，至少包含报告首页，对应功能测试页和报告尾页，并加盖原厂公章或投标人公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w:t>
                  </w:r>
                </w:p>
              </w:tc>
              <w:tc>
                <w:tcPr>
                  <w:tcW w:w="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31</w:t>
                  </w:r>
                </w:p>
              </w:tc>
              <w:tc>
                <w:tcPr>
                  <w:tcW w:w="516" w:type="dxa"/>
                  <w:vMerge w:val="continue"/>
                  <w:tcBorders>
                    <w:top w:val="nil"/>
                    <w:left w:val="nil"/>
                    <w:bottom w:val="single" w:color="000000" w:sz="4" w:space="0"/>
                    <w:right w:val="single" w:color="000000" w:sz="4" w:space="0"/>
                  </w:tcBorders>
                </w:tcPr>
                <w:p/>
              </w:tc>
              <w:tc>
                <w:tcPr>
                  <w:tcW w:w="43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1"/>
                    </w:rPr>
                    <w:t>为确保超融合平台在医疗行业的自主可信，超融合软件需获得互联网医疗健康产业联盟颁发的医疗云计算基础设施可信证书。（需提供证书证明，并加盖原厂公章或投标人公章）</w:t>
                  </w:r>
                </w:p>
              </w:tc>
            </w:tr>
          </w:tbl>
          <w:p>
            <w:pPr>
              <w:pStyle w:val="4"/>
              <w:spacing w:before="150" w:after="150"/>
              <w:jc w:val="left"/>
              <w:outlineLvl w:val="1"/>
            </w:pPr>
            <w:r>
              <w:rPr>
                <w:b/>
                <w:color w:val="000000"/>
                <w:sz w:val="28"/>
              </w:rPr>
              <w:t>1.2.3.10.DMZ服务区集群持续性数据保护软件（1套）配置要求</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31"/>
              <w:gridCol w:w="434"/>
              <w:gridCol w:w="637"/>
              <w:gridCol w:w="437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参数性质</w:t>
                  </w:r>
                </w:p>
              </w:tc>
              <w:tc>
                <w:tcPr>
                  <w:tcW w:w="31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序号</w:t>
                  </w:r>
                </w:p>
              </w:tc>
              <w:tc>
                <w:tcPr>
                  <w:tcW w:w="51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需求名称</w:t>
                  </w:r>
                </w:p>
              </w:tc>
              <w:tc>
                <w:tcPr>
                  <w:tcW w:w="437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需求/功能描述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w:t>
                  </w:r>
                </w:p>
              </w:tc>
              <w:tc>
                <w:tcPr>
                  <w:tcW w:w="51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DMZ服务区集群持续性数据保护</w:t>
                  </w:r>
                </w:p>
              </w:tc>
              <w:tc>
                <w:tcPr>
                  <w:tcW w:w="43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持续数据保护CDP软件模块需采用无代理的方案，避免对虚拟机的稳定性和性能产生影响，可设置RPO为5秒或1秒。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w:t>
                  </w:r>
                </w:p>
              </w:tc>
              <w:tc>
                <w:tcPr>
                  <w:tcW w:w="514" w:type="dxa"/>
                  <w:vMerge w:val="continue"/>
                  <w:tcBorders>
                    <w:top w:val="nil"/>
                    <w:left w:val="nil"/>
                    <w:bottom w:val="single" w:color="000000" w:sz="4" w:space="0"/>
                    <w:right w:val="single" w:color="000000" w:sz="4" w:space="0"/>
                  </w:tcBorders>
                </w:tcPr>
                <w:p/>
              </w:tc>
              <w:tc>
                <w:tcPr>
                  <w:tcW w:w="43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内置持续数据保护CDP软件模块，能够动态的开启和关闭，比如能够提供对正在运行的虚拟机，在不需要重启或中断业务的情况下，就可以开启CDP。</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w:t>
                  </w:r>
                </w:p>
              </w:tc>
              <w:tc>
                <w:tcPr>
                  <w:tcW w:w="31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w:t>
                  </w:r>
                </w:p>
              </w:tc>
              <w:tc>
                <w:tcPr>
                  <w:tcW w:w="514" w:type="dxa"/>
                  <w:vMerge w:val="continue"/>
                  <w:tcBorders>
                    <w:top w:val="nil"/>
                    <w:left w:val="nil"/>
                    <w:bottom w:val="single" w:color="000000" w:sz="4" w:space="0"/>
                    <w:right w:val="single" w:color="000000" w:sz="4" w:space="0"/>
                  </w:tcBorders>
                </w:tcPr>
                <w:p/>
              </w:tc>
              <w:tc>
                <w:tcPr>
                  <w:tcW w:w="43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点击备份&amp;CDP页面列表指定项操作栏中的找回文件按钮进行备份找回文件操作，可以对找回文件进行下载操作，可以通过日志方式记录展示备份找回文件。（需提供产品功能截图，并加盖厂商公章或投标人公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w:t>
                  </w:r>
                </w:p>
              </w:tc>
              <w:tc>
                <w:tcPr>
                  <w:tcW w:w="514" w:type="dxa"/>
                  <w:vMerge w:val="continue"/>
                  <w:tcBorders>
                    <w:top w:val="nil"/>
                    <w:left w:val="nil"/>
                    <w:bottom w:val="single" w:color="000000" w:sz="4" w:space="0"/>
                    <w:right w:val="single" w:color="000000" w:sz="4" w:space="0"/>
                  </w:tcBorders>
                </w:tcPr>
                <w:p/>
              </w:tc>
              <w:tc>
                <w:tcPr>
                  <w:tcW w:w="43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为保证整体的可靠性及安全性，要求提供CDP能力的厂商与云厂商为同一家，禁止借用第三方软件的整合。</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w:t>
                  </w:r>
                </w:p>
              </w:tc>
              <w:tc>
                <w:tcPr>
                  <w:tcW w:w="514" w:type="dxa"/>
                  <w:vMerge w:val="continue"/>
                  <w:tcBorders>
                    <w:top w:val="nil"/>
                    <w:left w:val="nil"/>
                    <w:bottom w:val="single" w:color="000000" w:sz="4" w:space="0"/>
                    <w:right w:val="single" w:color="000000" w:sz="4" w:space="0"/>
                  </w:tcBorders>
                </w:tcPr>
                <w:p/>
              </w:tc>
              <w:tc>
                <w:tcPr>
                  <w:tcW w:w="43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支持无代理CDP技术，不需要在虚拟机内部安装任何代理软件，即可对虚拟机进行持续数据保护，CDP不影响保护虚拟机的性能；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w:t>
                  </w:r>
                </w:p>
              </w:tc>
              <w:tc>
                <w:tcPr>
                  <w:tcW w:w="514" w:type="dxa"/>
                  <w:vMerge w:val="continue"/>
                  <w:tcBorders>
                    <w:top w:val="nil"/>
                    <w:left w:val="nil"/>
                    <w:bottom w:val="single" w:color="000000" w:sz="4" w:space="0"/>
                    <w:right w:val="single" w:color="000000" w:sz="4" w:space="0"/>
                  </w:tcBorders>
                </w:tcPr>
                <w:p/>
              </w:tc>
              <w:tc>
                <w:tcPr>
                  <w:tcW w:w="43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支持策略管理，最小提供RPO为秒级的数据保护；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w:t>
                  </w:r>
                </w:p>
              </w:tc>
              <w:tc>
                <w:tcPr>
                  <w:tcW w:w="514" w:type="dxa"/>
                  <w:vMerge w:val="continue"/>
                  <w:tcBorders>
                    <w:top w:val="nil"/>
                    <w:left w:val="nil"/>
                    <w:bottom w:val="single" w:color="000000" w:sz="4" w:space="0"/>
                    <w:right w:val="single" w:color="000000" w:sz="4" w:space="0"/>
                  </w:tcBorders>
                </w:tcPr>
                <w:p/>
              </w:tc>
              <w:tc>
                <w:tcPr>
                  <w:tcW w:w="43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支持业务虚拟机的快速恢复，可以指定策略覆盖原有虚拟机或者创建新虚拟机；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8</w:t>
                  </w:r>
                </w:p>
              </w:tc>
              <w:tc>
                <w:tcPr>
                  <w:tcW w:w="514" w:type="dxa"/>
                  <w:vMerge w:val="continue"/>
                  <w:tcBorders>
                    <w:top w:val="nil"/>
                    <w:left w:val="nil"/>
                    <w:bottom w:val="single" w:color="000000" w:sz="4" w:space="0"/>
                    <w:right w:val="single" w:color="000000" w:sz="4" w:space="0"/>
                  </w:tcBorders>
                </w:tcPr>
                <w:p/>
              </w:tc>
              <w:tc>
                <w:tcPr>
                  <w:tcW w:w="43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支持CDP备份任意时间点的数据克隆，通过克隆数据恢复虚拟机进行测试与验证；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9</w:t>
                  </w:r>
                </w:p>
              </w:tc>
              <w:tc>
                <w:tcPr>
                  <w:tcW w:w="514" w:type="dxa"/>
                  <w:vMerge w:val="continue"/>
                  <w:tcBorders>
                    <w:top w:val="nil"/>
                    <w:left w:val="nil"/>
                    <w:bottom w:val="single" w:color="000000" w:sz="4" w:space="0"/>
                    <w:right w:val="single" w:color="000000" w:sz="4" w:space="0"/>
                  </w:tcBorders>
                </w:tcPr>
                <w:p/>
              </w:tc>
              <w:tc>
                <w:tcPr>
                  <w:tcW w:w="43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支持通过CDP备份数据找回文件；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10</w:t>
                  </w:r>
                </w:p>
              </w:tc>
              <w:tc>
                <w:tcPr>
                  <w:tcW w:w="514" w:type="dxa"/>
                  <w:vMerge w:val="continue"/>
                  <w:tcBorders>
                    <w:top w:val="nil"/>
                    <w:left w:val="nil"/>
                    <w:bottom w:val="single" w:color="000000" w:sz="4" w:space="0"/>
                    <w:right w:val="single" w:color="000000" w:sz="4" w:space="0"/>
                  </w:tcBorders>
                </w:tcPr>
                <w:p/>
              </w:tc>
              <w:tc>
                <w:tcPr>
                  <w:tcW w:w="43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支持提供CDP备份时间点图形化显示，并显示CDP时间点IO日志保存速率；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11</w:t>
                  </w:r>
                </w:p>
              </w:tc>
              <w:tc>
                <w:tcPr>
                  <w:tcW w:w="514" w:type="dxa"/>
                  <w:vMerge w:val="continue"/>
                  <w:tcBorders>
                    <w:top w:val="nil"/>
                    <w:left w:val="nil"/>
                    <w:bottom w:val="single" w:color="000000" w:sz="4" w:space="0"/>
                    <w:right w:val="single" w:color="000000" w:sz="4" w:space="0"/>
                  </w:tcBorders>
                </w:tcPr>
                <w:p/>
              </w:tc>
              <w:tc>
                <w:tcPr>
                  <w:tcW w:w="43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支持CDP日志丢失后的备份恢复容错能力；</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12</w:t>
                  </w:r>
                </w:p>
              </w:tc>
              <w:tc>
                <w:tcPr>
                  <w:tcW w:w="514" w:type="dxa"/>
                  <w:vMerge w:val="continue"/>
                  <w:tcBorders>
                    <w:top w:val="nil"/>
                    <w:left w:val="nil"/>
                    <w:bottom w:val="single" w:color="000000" w:sz="4" w:space="0"/>
                    <w:right w:val="single" w:color="000000" w:sz="4" w:space="0"/>
                  </w:tcBorders>
                </w:tcPr>
                <w:p/>
              </w:tc>
              <w:tc>
                <w:tcPr>
                  <w:tcW w:w="43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提供不少于20个虚拟机CDP授权。</w:t>
                  </w:r>
                </w:p>
              </w:tc>
            </w:tr>
          </w:tbl>
          <w:p>
            <w:pPr>
              <w:pStyle w:val="4"/>
              <w:spacing w:before="150" w:after="150"/>
              <w:jc w:val="left"/>
              <w:outlineLvl w:val="1"/>
            </w:pPr>
            <w:r>
              <w:rPr>
                <w:b/>
                <w:color w:val="000000"/>
                <w:sz w:val="28"/>
              </w:rPr>
              <w:t>1.2.3.11.DMZ服务区集群虚拟化安全软件（1套）配置要求</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31"/>
              <w:gridCol w:w="434"/>
              <w:gridCol w:w="637"/>
              <w:gridCol w:w="437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参数性质</w:t>
                  </w:r>
                </w:p>
              </w:tc>
              <w:tc>
                <w:tcPr>
                  <w:tcW w:w="3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序号</w:t>
                  </w:r>
                </w:p>
              </w:tc>
              <w:tc>
                <w:tcPr>
                  <w:tcW w:w="51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需求名称</w:t>
                  </w:r>
                </w:p>
              </w:tc>
              <w:tc>
                <w:tcPr>
                  <w:tcW w:w="437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需求/功能描述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w:t>
                  </w:r>
                </w:p>
              </w:tc>
              <w:tc>
                <w:tcPr>
                  <w:tcW w:w="51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DMZ服务区集群虚拟化安全组件</w:t>
                  </w: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虚拟化安全组件需提供不少于3套带宽性能为400Mbps的虚拟化下一代防火墙，提供不少于1套虚拟化漏洞扫描软件；提供软件升级不少于3年；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w:t>
                  </w:r>
                </w:p>
              </w:tc>
              <w:tc>
                <w:tcPr>
                  <w:tcW w:w="512" w:type="dxa"/>
                  <w:vMerge w:val="continue"/>
                  <w:tcBorders>
                    <w:top w:val="nil"/>
                    <w:left w:val="nil"/>
                    <w:bottom w:val="single" w:color="000000" w:sz="4" w:space="0"/>
                    <w:right w:val="single" w:color="000000" w:sz="4" w:space="0"/>
                  </w:tcBorders>
                </w:tcP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虚拟化下一代防火墙支持DDoS攻击防护、Web应用安全防护、入侵防护功能、支持URL过滤和文件过滤功能、僵尸主机检测、病毒防护、网页篡改防护等功能，保障业务的高安全性。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w:t>
                  </w:r>
                </w:p>
              </w:tc>
              <w:tc>
                <w:tcPr>
                  <w:tcW w:w="512" w:type="dxa"/>
                  <w:vMerge w:val="continue"/>
                  <w:tcBorders>
                    <w:top w:val="nil"/>
                    <w:left w:val="nil"/>
                    <w:bottom w:val="single" w:color="000000" w:sz="4" w:space="0"/>
                    <w:right w:val="single" w:color="000000" w:sz="4" w:space="0"/>
                  </w:tcBorders>
                </w:tcP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虚拟化下一代防火墙具备独立的Web应用防护规则库，Web应用防护规则总数在3500条以上。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w:t>
                  </w:r>
                </w:p>
              </w:tc>
              <w:tc>
                <w:tcPr>
                  <w:tcW w:w="512" w:type="dxa"/>
                  <w:vMerge w:val="continue"/>
                  <w:tcBorders>
                    <w:top w:val="nil"/>
                    <w:left w:val="nil"/>
                    <w:bottom w:val="single" w:color="000000" w:sz="4" w:space="0"/>
                    <w:right w:val="single" w:color="000000" w:sz="4" w:space="0"/>
                  </w:tcBorders>
                </w:tcP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虚拟化下一代防火墙具备独立的僵尸主机识别特征库，恶意软件识别特征总数在160万条以上。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w:t>
                  </w:r>
                </w:p>
              </w:tc>
              <w:tc>
                <w:tcPr>
                  <w:tcW w:w="512" w:type="dxa"/>
                  <w:vMerge w:val="continue"/>
                  <w:tcBorders>
                    <w:top w:val="nil"/>
                    <w:left w:val="nil"/>
                    <w:bottom w:val="single" w:color="000000" w:sz="4" w:space="0"/>
                    <w:right w:val="single" w:color="000000" w:sz="4" w:space="0"/>
                  </w:tcBorders>
                </w:tcP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虚拟化下一代防火墙支持对常见应用服务（FTP、SSH、SMTP、IMAP）和数据库软件（MySQL、Oracle、MSSQL）的口令暴力破解防护功能，全面保障业务的安全。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w:t>
                  </w:r>
                </w:p>
              </w:tc>
              <w:tc>
                <w:tcPr>
                  <w:tcW w:w="512" w:type="dxa"/>
                  <w:vMerge w:val="continue"/>
                  <w:tcBorders>
                    <w:top w:val="nil"/>
                    <w:left w:val="nil"/>
                    <w:bottom w:val="single" w:color="000000" w:sz="4" w:space="0"/>
                    <w:right w:val="single" w:color="000000" w:sz="4" w:space="0"/>
                  </w:tcBorders>
                </w:tcP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由于安全风险与供应链风险越来越多，本次项目需要提供同品牌紧耦合的自研虚拟应用防火墙，非OEM，对重要业务进行7层应用防护。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w:t>
                  </w:r>
                </w:p>
              </w:tc>
              <w:tc>
                <w:tcPr>
                  <w:tcW w:w="512" w:type="dxa"/>
                  <w:vMerge w:val="continue"/>
                  <w:tcBorders>
                    <w:top w:val="nil"/>
                    <w:left w:val="nil"/>
                    <w:bottom w:val="single" w:color="000000" w:sz="4" w:space="0"/>
                    <w:right w:val="single" w:color="000000" w:sz="4" w:space="0"/>
                  </w:tcBorders>
                </w:tcP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虚拟化下一代防火墙具备对常见网络协议（SSH、FTP、RDP、VNC、Netbios）和数据库（MySQL、Oracle、MSSQL）的弱密码扫描功能，全面保障业务的安全。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8</w:t>
                  </w:r>
                </w:p>
              </w:tc>
              <w:tc>
                <w:tcPr>
                  <w:tcW w:w="512" w:type="dxa"/>
                  <w:vMerge w:val="continue"/>
                  <w:tcBorders>
                    <w:top w:val="nil"/>
                    <w:left w:val="nil"/>
                    <w:bottom w:val="single" w:color="000000" w:sz="4" w:space="0"/>
                    <w:right w:val="single" w:color="000000" w:sz="4" w:space="0"/>
                  </w:tcBorders>
                </w:tcP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虚拟化下一代防火墙提供安全报表，报表内容体现被保护对象的整体安全等级，发现漏洞情况以及遭受到攻击的漏洞统计，可以查看到有效攻击行为次数和攻击趋势。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9</w:t>
                  </w:r>
                </w:p>
              </w:tc>
              <w:tc>
                <w:tcPr>
                  <w:tcW w:w="512" w:type="dxa"/>
                  <w:vMerge w:val="continue"/>
                  <w:tcBorders>
                    <w:top w:val="nil"/>
                    <w:left w:val="nil"/>
                    <w:bottom w:val="single" w:color="000000" w:sz="4" w:space="0"/>
                    <w:right w:val="single" w:color="000000" w:sz="4" w:space="0"/>
                  </w:tcBorders>
                </w:tcP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虚拟化漏洞扫描软件支持资产发现、系统漏洞扫描、弱口令扫描、WEB漏洞扫描、基线配置核查五种任务类型。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10</w:t>
                  </w:r>
                </w:p>
              </w:tc>
              <w:tc>
                <w:tcPr>
                  <w:tcW w:w="512" w:type="dxa"/>
                  <w:vMerge w:val="continue"/>
                  <w:tcBorders>
                    <w:top w:val="nil"/>
                    <w:left w:val="nil"/>
                    <w:bottom w:val="single" w:color="000000" w:sz="4" w:space="0"/>
                    <w:right w:val="single" w:color="000000" w:sz="4" w:space="0"/>
                  </w:tcBorders>
                </w:tcP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虚拟化漏洞扫描软件支持资产发现功能，可基于IP地址、IP网段、IP范围、URL等方式进行资产发现扫描，支持EXCEL格式批量导入。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11</w:t>
                  </w:r>
                </w:p>
              </w:tc>
              <w:tc>
                <w:tcPr>
                  <w:tcW w:w="512" w:type="dxa"/>
                  <w:vMerge w:val="continue"/>
                  <w:tcBorders>
                    <w:top w:val="nil"/>
                    <w:left w:val="nil"/>
                    <w:bottom w:val="single" w:color="000000" w:sz="4" w:space="0"/>
                    <w:right w:val="single" w:color="000000" w:sz="4" w:space="0"/>
                  </w:tcBorders>
                </w:tcP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虚拟化漏洞扫描软件支持资产发现支持存活探测、服务和端口探测、操作系统识别、数据库识别、中间件识别、开发语言识别、开发框架识别、应用/服务识别和设备指纹识别等功能，其中服务和端口探测支持常用端口、全局端口和自定义端口三种探测方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12</w:t>
                  </w:r>
                </w:p>
              </w:tc>
              <w:tc>
                <w:tcPr>
                  <w:tcW w:w="512" w:type="dxa"/>
                  <w:vMerge w:val="continue"/>
                  <w:tcBorders>
                    <w:top w:val="nil"/>
                    <w:left w:val="nil"/>
                    <w:bottom w:val="single" w:color="000000" w:sz="4" w:space="0"/>
                    <w:right w:val="single" w:color="000000" w:sz="4" w:space="0"/>
                  </w:tcBorders>
                </w:tcP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虚拟化漏洞扫描软件支持支持操作系统、网络设备、数据库、中间件等漏洞扫描。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13</w:t>
                  </w:r>
                </w:p>
              </w:tc>
              <w:tc>
                <w:tcPr>
                  <w:tcW w:w="512" w:type="dxa"/>
                  <w:vMerge w:val="continue"/>
                  <w:tcBorders>
                    <w:top w:val="nil"/>
                    <w:left w:val="nil"/>
                    <w:bottom w:val="single" w:color="000000" w:sz="4" w:space="0"/>
                    <w:right w:val="single" w:color="000000" w:sz="4" w:space="0"/>
                  </w:tcBorders>
                </w:tcP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虚拟化漏洞扫描软件支持内置不同的系统漏洞模板，包括高可利用系统漏洞、原理检测系统漏洞、中间件漏洞、数据库漏洞等类型，支持报表形式展示漏洞模板风险等级分布概览，支持报表形式展示漏洞模板详情，包括漏洞总数、漏洞名称、漏洞类型、风险等级等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14</w:t>
                  </w:r>
                </w:p>
              </w:tc>
              <w:tc>
                <w:tcPr>
                  <w:tcW w:w="512" w:type="dxa"/>
                  <w:vMerge w:val="continue"/>
                  <w:tcBorders>
                    <w:top w:val="nil"/>
                    <w:left w:val="nil"/>
                    <w:bottom w:val="single" w:color="000000" w:sz="4" w:space="0"/>
                    <w:right w:val="single" w:color="000000" w:sz="4" w:space="0"/>
                  </w:tcBorders>
                </w:tcP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虚拟化漏洞扫描软件支持支持漏洞检索功能，可基于漏洞名称、CVE编号进行高级检索。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15</w:t>
                  </w:r>
                </w:p>
              </w:tc>
              <w:tc>
                <w:tcPr>
                  <w:tcW w:w="512" w:type="dxa"/>
                  <w:vMerge w:val="continue"/>
                  <w:tcBorders>
                    <w:top w:val="nil"/>
                    <w:left w:val="nil"/>
                    <w:bottom w:val="single" w:color="000000" w:sz="4" w:space="0"/>
                    <w:right w:val="single" w:color="000000" w:sz="4" w:space="0"/>
                  </w:tcBorders>
                </w:tcP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虚拟化漏洞扫描软件支持内置常用字典和精简字典两种弱口令扫描模板，常用字典包含常见的用户名及TOP160密码，精简密码适用于爆破速度快的密码猜解场景，支持自定义新增密码字典功能。</w:t>
                  </w:r>
                </w:p>
              </w:tc>
            </w:tr>
          </w:tbl>
          <w:p>
            <w:pPr>
              <w:pStyle w:val="4"/>
              <w:spacing w:before="150" w:after="150"/>
              <w:jc w:val="left"/>
              <w:outlineLvl w:val="1"/>
            </w:pPr>
            <w:r>
              <w:rPr>
                <w:b/>
                <w:color w:val="000000"/>
                <w:sz w:val="28"/>
              </w:rPr>
              <w:t>1.2.3.12.DMZ服务区集群存储交换机（2台）配置要求</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31"/>
              <w:gridCol w:w="434"/>
              <w:gridCol w:w="512"/>
              <w:gridCol w:w="437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参数性质</w:t>
                  </w:r>
                </w:p>
              </w:tc>
              <w:tc>
                <w:tcPr>
                  <w:tcW w:w="3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序号</w:t>
                  </w:r>
                </w:p>
              </w:tc>
              <w:tc>
                <w:tcPr>
                  <w:tcW w:w="51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需求名称</w:t>
                  </w:r>
                </w:p>
              </w:tc>
              <w:tc>
                <w:tcPr>
                  <w:tcW w:w="437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需求/功能描述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w:t>
                  </w:r>
                </w:p>
              </w:tc>
              <w:tc>
                <w:tcPr>
                  <w:tcW w:w="51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网络接口</w:t>
                  </w: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具备万兆SFP+光口≥12个，千兆电口≥12个；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w:t>
                  </w:r>
                </w:p>
              </w:tc>
              <w:tc>
                <w:tcPr>
                  <w:tcW w:w="51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性能</w:t>
                  </w: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交换性能≥2.4Tbps，包转发率≥780Mpps；</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w:t>
                  </w:r>
                </w:p>
              </w:tc>
              <w:tc>
                <w:tcPr>
                  <w:tcW w:w="51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基本功能</w:t>
                  </w: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支持MAC地址≥32K，支持MAC地址自动学习、源MAC地址过滤、接口MAC地址学习个数限制；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w:t>
                  </w:r>
                </w:p>
              </w:tc>
              <w:tc>
                <w:tcPr>
                  <w:tcW w:w="512" w:type="dxa"/>
                  <w:vMerge w:val="continue"/>
                  <w:tcBorders>
                    <w:top w:val="nil"/>
                    <w:left w:val="nil"/>
                    <w:bottom w:val="single" w:color="000000" w:sz="4" w:space="0"/>
                    <w:right w:val="single" w:color="000000" w:sz="4" w:space="0"/>
                  </w:tcBorders>
                </w:tcP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支持基于端口或堆叠口的ACL策略、基于源目IP/MAC地址的ACL策略、基于协议的ACL策略、基于时间的ACL策略；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w:t>
                  </w:r>
                </w:p>
              </w:tc>
              <w:tc>
                <w:tcPr>
                  <w:tcW w:w="512" w:type="dxa"/>
                  <w:vMerge w:val="continue"/>
                  <w:tcBorders>
                    <w:top w:val="nil"/>
                    <w:left w:val="nil"/>
                    <w:bottom w:val="single" w:color="000000" w:sz="4" w:space="0"/>
                    <w:right w:val="single" w:color="000000" w:sz="4" w:space="0"/>
                  </w:tcBorders>
                </w:tcP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支持Qos特性，通过多种调度模式（例如：轮询模式、严格优先模式等）实现流量基于报文或端口的优先级；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w:t>
                  </w:r>
                </w:p>
              </w:tc>
              <w:tc>
                <w:tcPr>
                  <w:tcW w:w="512" w:type="dxa"/>
                  <w:vMerge w:val="continue"/>
                  <w:tcBorders>
                    <w:top w:val="nil"/>
                    <w:left w:val="nil"/>
                    <w:bottom w:val="single" w:color="000000" w:sz="4" w:space="0"/>
                    <w:right w:val="single" w:color="000000" w:sz="4" w:space="0"/>
                  </w:tcBorders>
                </w:tcP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支持STP、RSTP、MSTP防环协议；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w:t>
                  </w:r>
                </w:p>
              </w:tc>
              <w:tc>
                <w:tcPr>
                  <w:tcW w:w="512" w:type="dxa"/>
                  <w:vMerge w:val="continue"/>
                  <w:tcBorders>
                    <w:top w:val="nil"/>
                    <w:left w:val="nil"/>
                    <w:bottom w:val="single" w:color="000000" w:sz="4" w:space="0"/>
                    <w:right w:val="single" w:color="000000" w:sz="4" w:space="0"/>
                  </w:tcBorders>
                </w:tcP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支持IEEE 802.3az 标准的 EEE节能技术：当EEE使能时，从而大幅度的减小端口在该阶段的功耗，达到了节能的目的；</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8</w:t>
                  </w:r>
                </w:p>
              </w:tc>
              <w:tc>
                <w:tcPr>
                  <w:tcW w:w="512" w:type="dxa"/>
                  <w:vMerge w:val="continue"/>
                  <w:tcBorders>
                    <w:top w:val="nil"/>
                    <w:left w:val="nil"/>
                    <w:bottom w:val="single" w:color="000000" w:sz="4" w:space="0"/>
                    <w:right w:val="single" w:color="000000" w:sz="4" w:space="0"/>
                  </w:tcBorders>
                </w:tcP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可以自定义交换机端口接入终端类型，及MAC黑白名单；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9</w:t>
                  </w:r>
                </w:p>
              </w:tc>
              <w:tc>
                <w:tcPr>
                  <w:tcW w:w="51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配件</w:t>
                  </w: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实配不少于4根光纤线、8个万兆多模光模块、1根3米万兆堆叠线缆；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10</w:t>
                  </w:r>
                </w:p>
              </w:tc>
              <w:tc>
                <w:tcPr>
                  <w:tcW w:w="51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保修</w:t>
                  </w:r>
                </w:p>
              </w:tc>
              <w:tc>
                <w:tcPr>
                  <w:tcW w:w="4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1"/>
                    </w:rPr>
                    <w:t>3年7×24小时维保</w:t>
                  </w:r>
                </w:p>
              </w:tc>
            </w:tr>
          </w:tbl>
          <w:p>
            <w:pPr>
              <w:pStyle w:val="4"/>
              <w:spacing w:before="150" w:after="150"/>
              <w:jc w:val="left"/>
              <w:outlineLvl w:val="1"/>
            </w:pPr>
            <w:r>
              <w:rPr>
                <w:b/>
                <w:color w:val="000000"/>
                <w:sz w:val="28"/>
              </w:rPr>
              <w:t>1.2.3.13.DMZ服务区集群业务交换机（2台）配置要求</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31"/>
              <w:gridCol w:w="434"/>
              <w:gridCol w:w="512"/>
              <w:gridCol w:w="438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参数性质</w:t>
                  </w:r>
                </w:p>
              </w:tc>
              <w:tc>
                <w:tcPr>
                  <w:tcW w:w="3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序号</w:t>
                  </w:r>
                </w:p>
              </w:tc>
              <w:tc>
                <w:tcPr>
                  <w:tcW w:w="51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需求名称</w:t>
                  </w:r>
                </w:p>
              </w:tc>
              <w:tc>
                <w:tcPr>
                  <w:tcW w:w="438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需求/功能描述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w:t>
                  </w:r>
                </w:p>
              </w:tc>
              <w:tc>
                <w:tcPr>
                  <w:tcW w:w="51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网络接口</w:t>
                  </w:r>
                </w:p>
              </w:tc>
              <w:tc>
                <w:tcPr>
                  <w:tcW w:w="43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具备万兆SFP+光口≥12个，千兆电口≥12个；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w:t>
                  </w:r>
                </w:p>
              </w:tc>
              <w:tc>
                <w:tcPr>
                  <w:tcW w:w="51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性能</w:t>
                  </w:r>
                </w:p>
              </w:tc>
              <w:tc>
                <w:tcPr>
                  <w:tcW w:w="43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交换性能≥2.4Tbps，包转发率≥780Mpps；</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w:t>
                  </w:r>
                </w:p>
              </w:tc>
              <w:tc>
                <w:tcPr>
                  <w:tcW w:w="51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基本功能</w:t>
                  </w:r>
                </w:p>
              </w:tc>
              <w:tc>
                <w:tcPr>
                  <w:tcW w:w="43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支持MAC地址≥32K，支持MAC地址自动学习、源MAC地址过滤、接口MAC地址学习个数限制；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w:t>
                  </w:r>
                </w:p>
              </w:tc>
              <w:tc>
                <w:tcPr>
                  <w:tcW w:w="512" w:type="dxa"/>
                  <w:vMerge w:val="continue"/>
                  <w:tcBorders>
                    <w:top w:val="nil"/>
                    <w:left w:val="nil"/>
                    <w:bottom w:val="single" w:color="000000" w:sz="4" w:space="0"/>
                    <w:right w:val="single" w:color="000000" w:sz="4" w:space="0"/>
                  </w:tcBorders>
                </w:tcPr>
                <w:p/>
              </w:tc>
              <w:tc>
                <w:tcPr>
                  <w:tcW w:w="43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支持基于端口或堆叠口的ACL策略、基于源目IP/MAC地址的ACL策略、基于协议的ACL策略、基于时间的ACL策略；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w:t>
                  </w:r>
                </w:p>
              </w:tc>
              <w:tc>
                <w:tcPr>
                  <w:tcW w:w="512" w:type="dxa"/>
                  <w:vMerge w:val="continue"/>
                  <w:tcBorders>
                    <w:top w:val="nil"/>
                    <w:left w:val="nil"/>
                    <w:bottom w:val="single" w:color="000000" w:sz="4" w:space="0"/>
                    <w:right w:val="single" w:color="000000" w:sz="4" w:space="0"/>
                  </w:tcBorders>
                </w:tcPr>
                <w:p/>
              </w:tc>
              <w:tc>
                <w:tcPr>
                  <w:tcW w:w="43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支持Qos特性，通过多种调度模式（例如：轮询模式、严格优先模式等）实现流量基于报文或端口的优先级；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w:t>
                  </w:r>
                </w:p>
              </w:tc>
              <w:tc>
                <w:tcPr>
                  <w:tcW w:w="512" w:type="dxa"/>
                  <w:vMerge w:val="continue"/>
                  <w:tcBorders>
                    <w:top w:val="nil"/>
                    <w:left w:val="nil"/>
                    <w:bottom w:val="single" w:color="000000" w:sz="4" w:space="0"/>
                    <w:right w:val="single" w:color="000000" w:sz="4" w:space="0"/>
                  </w:tcBorders>
                </w:tcPr>
                <w:p/>
              </w:tc>
              <w:tc>
                <w:tcPr>
                  <w:tcW w:w="43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支持STP、RSTP、MSTP防环协议；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w:t>
                  </w:r>
                </w:p>
              </w:tc>
              <w:tc>
                <w:tcPr>
                  <w:tcW w:w="512" w:type="dxa"/>
                  <w:vMerge w:val="continue"/>
                  <w:tcBorders>
                    <w:top w:val="nil"/>
                    <w:left w:val="nil"/>
                    <w:bottom w:val="single" w:color="000000" w:sz="4" w:space="0"/>
                    <w:right w:val="single" w:color="000000" w:sz="4" w:space="0"/>
                  </w:tcBorders>
                </w:tcPr>
                <w:p/>
              </w:tc>
              <w:tc>
                <w:tcPr>
                  <w:tcW w:w="43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支持IEEE 802.3az 标准的 EEE节能技术：当EEE使能时，从而大幅度的减小端口在该阶段的功耗，达到了节能的目的；</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8</w:t>
                  </w:r>
                </w:p>
              </w:tc>
              <w:tc>
                <w:tcPr>
                  <w:tcW w:w="512" w:type="dxa"/>
                  <w:vMerge w:val="continue"/>
                  <w:tcBorders>
                    <w:top w:val="nil"/>
                    <w:left w:val="nil"/>
                    <w:bottom w:val="single" w:color="000000" w:sz="4" w:space="0"/>
                    <w:right w:val="single" w:color="000000" w:sz="4" w:space="0"/>
                  </w:tcBorders>
                </w:tcPr>
                <w:p/>
              </w:tc>
              <w:tc>
                <w:tcPr>
                  <w:tcW w:w="43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可以自定义交换机端口接入终端类型，及MAC黑白名单；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9</w:t>
                  </w:r>
                </w:p>
              </w:tc>
              <w:tc>
                <w:tcPr>
                  <w:tcW w:w="51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配件</w:t>
                  </w:r>
                </w:p>
              </w:tc>
              <w:tc>
                <w:tcPr>
                  <w:tcW w:w="43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实配不少于6根光纤线、12个万兆多模光模块、1根3米万兆堆叠线缆；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10</w:t>
                  </w:r>
                </w:p>
              </w:tc>
              <w:tc>
                <w:tcPr>
                  <w:tcW w:w="51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保修</w:t>
                  </w:r>
                </w:p>
              </w:tc>
              <w:tc>
                <w:tcPr>
                  <w:tcW w:w="43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1"/>
                    </w:rPr>
                    <w:t>3年7×24小时维保</w:t>
                  </w:r>
                </w:p>
              </w:tc>
            </w:tr>
          </w:tbl>
          <w:p>
            <w:pPr>
              <w:pStyle w:val="4"/>
              <w:spacing w:before="150" w:after="150"/>
              <w:jc w:val="left"/>
              <w:outlineLvl w:val="1"/>
            </w:pPr>
            <w:r>
              <w:rPr>
                <w:b/>
                <w:color w:val="000000"/>
                <w:sz w:val="28"/>
              </w:rPr>
              <w:t>1.2.3.14.分布式存储（3台）配置要求</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31"/>
              <w:gridCol w:w="434"/>
              <w:gridCol w:w="512"/>
              <w:gridCol w:w="438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参数性质</w:t>
                  </w:r>
                </w:p>
              </w:tc>
              <w:tc>
                <w:tcPr>
                  <w:tcW w:w="3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序号</w:t>
                  </w:r>
                </w:p>
              </w:tc>
              <w:tc>
                <w:tcPr>
                  <w:tcW w:w="51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需求名称</w:t>
                  </w:r>
                </w:p>
              </w:tc>
              <w:tc>
                <w:tcPr>
                  <w:tcW w:w="438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需求/功能描述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w:t>
                  </w:r>
                </w:p>
              </w:tc>
              <w:tc>
                <w:tcPr>
                  <w:tcW w:w="51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硬件参数</w:t>
                  </w:r>
                </w:p>
              </w:tc>
              <w:tc>
                <w:tcPr>
                  <w:tcW w:w="43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规格：4U；内存：不少于4×32GB；系统盘：不少于2个240GB SSD；数据盘：不少于2个1.6T NVME SSD，不少于12个3.84T SSD固态硬盘；标配盘位数：不少于36；电源：冗余电源；接口：不少于2千兆电口，不少于4万兆光口。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w:t>
                  </w:r>
                </w:p>
              </w:tc>
              <w:tc>
                <w:tcPr>
                  <w:tcW w:w="51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color w:val="000000"/>
                      <w:sz w:val="22"/>
                    </w:rPr>
                    <w:t>存储架构</w:t>
                  </w:r>
                </w:p>
              </w:tc>
              <w:tc>
                <w:tcPr>
                  <w:tcW w:w="43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存储分为硬件和软件两个部分，硬件使用通用X86服务器，软硬件解耦。软件部分按容量进行统一授权，同时提供块、文件、对象服务，软件一次授权终身使用，快照、缓存加速池等高级功能全部免费开放，无需重复付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w:t>
                  </w:r>
                </w:p>
              </w:tc>
              <w:tc>
                <w:tcPr>
                  <w:tcW w:w="512" w:type="dxa"/>
                  <w:vMerge w:val="continue"/>
                  <w:tcBorders>
                    <w:top w:val="nil"/>
                    <w:left w:val="nil"/>
                    <w:bottom w:val="single" w:color="000000" w:sz="4" w:space="0"/>
                    <w:right w:val="single" w:color="000000" w:sz="4" w:space="0"/>
                  </w:tcBorders>
                </w:tcPr>
                <w:p/>
              </w:tc>
              <w:tc>
                <w:tcPr>
                  <w:tcW w:w="43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采用全对称分布式架构，元数据和数据都融合部署在存储节点上，不需要使用独立管理节点（元数据节点或索引节点）；元数据、数据均采用集群方式部署，任何一个节点出现故障，不影响数据的正常访问。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w:t>
                  </w:r>
                </w:p>
              </w:tc>
              <w:tc>
                <w:tcPr>
                  <w:tcW w:w="51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color w:val="000000"/>
                      <w:sz w:val="22"/>
                    </w:rPr>
                    <w:t>基本功能</w:t>
                  </w:r>
                </w:p>
              </w:tc>
              <w:tc>
                <w:tcPr>
                  <w:tcW w:w="43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支持针对对象存储用户/桶设置容量配额，限制用户/桶对容量的使用，防止个别用户/业务滥用存储空间，挤占其它用户/业务资源。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w:t>
                  </w:r>
                </w:p>
              </w:tc>
              <w:tc>
                <w:tcPr>
                  <w:tcW w:w="512" w:type="dxa"/>
                  <w:vMerge w:val="continue"/>
                  <w:tcBorders>
                    <w:top w:val="nil"/>
                    <w:left w:val="nil"/>
                    <w:bottom w:val="single" w:color="000000" w:sz="4" w:space="0"/>
                    <w:right w:val="single" w:color="000000" w:sz="4" w:space="0"/>
                  </w:tcBorders>
                </w:tcPr>
                <w:p/>
              </w:tc>
              <w:tc>
                <w:tcPr>
                  <w:tcW w:w="43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为降低数据长期保存成本，对象存储应提供数据压缩能力，支持以桶为单位配置数据压缩策略，可选择节省容量优先和性能优先两种策略，并支持查看计算压缩的数据量和压缩率。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w:t>
                  </w:r>
                </w:p>
              </w:tc>
              <w:tc>
                <w:tcPr>
                  <w:tcW w:w="512" w:type="dxa"/>
                  <w:vMerge w:val="continue"/>
                  <w:tcBorders>
                    <w:top w:val="nil"/>
                    <w:left w:val="nil"/>
                    <w:bottom w:val="single" w:color="000000" w:sz="4" w:space="0"/>
                    <w:right w:val="single" w:color="000000" w:sz="4" w:space="0"/>
                  </w:tcBorders>
                </w:tcPr>
                <w:p/>
              </w:tc>
              <w:tc>
                <w:tcPr>
                  <w:tcW w:w="43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同时提供NFS、CIFS、FTP以及三种存储接口，无须在应用层安装插件，减少业务系统改造成本，满足不同应用系统对存储接口的要求。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w:t>
                  </w:r>
                </w:p>
              </w:tc>
              <w:tc>
                <w:tcPr>
                  <w:tcW w:w="512" w:type="dxa"/>
                  <w:vMerge w:val="continue"/>
                  <w:tcBorders>
                    <w:top w:val="nil"/>
                    <w:left w:val="nil"/>
                    <w:bottom w:val="single" w:color="000000" w:sz="4" w:space="0"/>
                    <w:right w:val="single" w:color="000000" w:sz="4" w:space="0"/>
                  </w:tcBorders>
                </w:tcPr>
                <w:p/>
              </w:tc>
              <w:tc>
                <w:tcPr>
                  <w:tcW w:w="43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文件存储支持针对本地的用户/用户组和域用户/用户组设置默认配额，限制用户的使用容量或文件数量，防止个别用户/业务滥用存储空间，挤占其它用户的业务资源。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8</w:t>
                  </w:r>
                </w:p>
              </w:tc>
              <w:tc>
                <w:tcPr>
                  <w:tcW w:w="512" w:type="dxa"/>
                  <w:vMerge w:val="continue"/>
                  <w:tcBorders>
                    <w:top w:val="nil"/>
                    <w:left w:val="nil"/>
                    <w:bottom w:val="single" w:color="000000" w:sz="4" w:space="0"/>
                    <w:right w:val="single" w:color="000000" w:sz="4" w:space="0"/>
                  </w:tcBorders>
                </w:tcPr>
                <w:p/>
              </w:tc>
              <w:tc>
                <w:tcPr>
                  <w:tcW w:w="43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为提升业务访问性能，所投存储产品应支持在本地部署专有加速客户端，提供数据本地化读写加速能力，缩短数据IO路径，提高业务应用性能体验，可使写性能提升60%以上。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9</w:t>
                  </w:r>
                </w:p>
              </w:tc>
              <w:tc>
                <w:tcPr>
                  <w:tcW w:w="512" w:type="dxa"/>
                  <w:vMerge w:val="continue"/>
                  <w:tcBorders>
                    <w:top w:val="nil"/>
                    <w:left w:val="nil"/>
                    <w:bottom w:val="single" w:color="000000" w:sz="4" w:space="0"/>
                    <w:right w:val="single" w:color="000000" w:sz="4" w:space="0"/>
                  </w:tcBorders>
                </w:tcPr>
                <w:p/>
              </w:tc>
              <w:tc>
                <w:tcPr>
                  <w:tcW w:w="43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支持对数据预读功能，将热点数据预读至缓存层，从而提升读性能。（需提供带有CNAS标识的检测报告证明，至少包含报告首页，对应功能测试页和报告尾页，并加盖原厂公章或投标人公章）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10</w:t>
                  </w:r>
                </w:p>
              </w:tc>
              <w:tc>
                <w:tcPr>
                  <w:tcW w:w="512" w:type="dxa"/>
                  <w:vMerge w:val="continue"/>
                  <w:tcBorders>
                    <w:top w:val="nil"/>
                    <w:left w:val="nil"/>
                    <w:bottom w:val="single" w:color="000000" w:sz="4" w:space="0"/>
                    <w:right w:val="single" w:color="000000" w:sz="4" w:space="0"/>
                  </w:tcBorders>
                </w:tcPr>
                <w:p/>
              </w:tc>
              <w:tc>
                <w:tcPr>
                  <w:tcW w:w="43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支持文件审计功能，通过该功能可以在管理平台方便的查看文件上传、复制、重命名和删除等相关操作的日志，从而在文件状态出现异常时，可以通过此功能进行追溯。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11</w:t>
                  </w:r>
                </w:p>
              </w:tc>
              <w:tc>
                <w:tcPr>
                  <w:tcW w:w="512" w:type="dxa"/>
                  <w:vMerge w:val="continue"/>
                  <w:tcBorders>
                    <w:top w:val="nil"/>
                    <w:left w:val="nil"/>
                    <w:bottom w:val="single" w:color="000000" w:sz="4" w:space="0"/>
                    <w:right w:val="single" w:color="000000" w:sz="4" w:space="0"/>
                  </w:tcBorders>
                </w:tcPr>
                <w:p/>
              </w:tc>
              <w:tc>
                <w:tcPr>
                  <w:tcW w:w="43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提供快照链状结构展示页面，方便用户管理快照数据和进行快照恢复。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12</w:t>
                  </w:r>
                </w:p>
              </w:tc>
              <w:tc>
                <w:tcPr>
                  <w:tcW w:w="512" w:type="dxa"/>
                  <w:vMerge w:val="continue"/>
                  <w:tcBorders>
                    <w:top w:val="nil"/>
                    <w:left w:val="nil"/>
                    <w:bottom w:val="single" w:color="000000" w:sz="4" w:space="0"/>
                    <w:right w:val="single" w:color="000000" w:sz="4" w:space="0"/>
                  </w:tcBorders>
                </w:tcPr>
                <w:p/>
              </w:tc>
              <w:tc>
                <w:tcPr>
                  <w:tcW w:w="43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存储策略，支持以LUN为粒度配置副本数、分层QOS、条带数等存储策略，以实现在性能、成本，可靠性等指标上的平衡兼顾。</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13</w:t>
                  </w:r>
                </w:p>
              </w:tc>
              <w:tc>
                <w:tcPr>
                  <w:tcW w:w="512" w:type="dxa"/>
                  <w:vMerge w:val="continue"/>
                  <w:tcBorders>
                    <w:top w:val="nil"/>
                    <w:left w:val="nil"/>
                    <w:bottom w:val="single" w:color="000000" w:sz="4" w:space="0"/>
                    <w:right w:val="single" w:color="000000" w:sz="4" w:space="0"/>
                  </w:tcBorders>
                </w:tcPr>
                <w:p/>
              </w:tc>
              <w:tc>
                <w:tcPr>
                  <w:tcW w:w="43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查看文件系统客户端（CIFS/NFS/FTP）的连接个数，以及每个连接的具体信息（OPS带宽、时延、元数据OPS、元数据时延），便于管理员查看客户端的接入情况，识别访问热点及快速定位业务访问故障。（需提供带有CNAS标识的检测报告证明，至少包含报告首页，对应功能测试页和报告尾页，并加盖原厂公章或投标人公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14</w:t>
                  </w:r>
                </w:p>
              </w:tc>
              <w:tc>
                <w:tcPr>
                  <w:tcW w:w="512" w:type="dxa"/>
                  <w:vMerge w:val="continue"/>
                  <w:tcBorders>
                    <w:top w:val="nil"/>
                    <w:left w:val="nil"/>
                    <w:bottom w:val="single" w:color="000000" w:sz="4" w:space="0"/>
                    <w:right w:val="single" w:color="000000" w:sz="4" w:space="0"/>
                  </w:tcBorders>
                </w:tcPr>
                <w:p/>
              </w:tc>
              <w:tc>
                <w:tcPr>
                  <w:tcW w:w="43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以文件目录为单位对存储性能进行监控，对共享目录的带宽、时延、OPS、元数据OPS、元数据时延等指标进行可视化操作与趋势跟踪，能有效支持对业务问题的溯源排查。（需提供带有CNAS标识的检测报告证明，至少包含报告首页，对应功能测试页和报告尾页，并加盖原厂公章或投标人公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w:t>
                  </w: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15</w:t>
                  </w:r>
                </w:p>
              </w:tc>
              <w:tc>
                <w:tcPr>
                  <w:tcW w:w="512" w:type="dxa"/>
                  <w:vMerge w:val="continue"/>
                  <w:tcBorders>
                    <w:top w:val="nil"/>
                    <w:left w:val="nil"/>
                    <w:bottom w:val="single" w:color="000000" w:sz="4" w:space="0"/>
                    <w:right w:val="single" w:color="000000" w:sz="4" w:space="0"/>
                  </w:tcBorders>
                </w:tcPr>
                <w:p/>
              </w:tc>
              <w:tc>
                <w:tcPr>
                  <w:tcW w:w="43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查看对象存储bucket的访问性能，支持查看bucket最近一周内的性能访问趋势（带宽、OPS、时延），便于管理员掌握业务访问情况并快速定位业务故障。（需提供带有CNAS标识的检测报告证明，至少包含报告首页，对应功能测试页和报告尾页，并加盖原厂公章或投标人公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16</w:t>
                  </w:r>
                </w:p>
              </w:tc>
              <w:tc>
                <w:tcPr>
                  <w:tcW w:w="51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color w:val="000000"/>
                      <w:sz w:val="22"/>
                    </w:rPr>
                    <w:t>裸容量授权</w:t>
                  </w:r>
                </w:p>
              </w:tc>
              <w:tc>
                <w:tcPr>
                  <w:tcW w:w="43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所投产品的分布式存储裸容量授权不少于140TB。</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17</w:t>
                  </w:r>
                </w:p>
              </w:tc>
              <w:tc>
                <w:tcPr>
                  <w:tcW w:w="51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保修</w:t>
                  </w:r>
                </w:p>
              </w:tc>
              <w:tc>
                <w:tcPr>
                  <w:tcW w:w="43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软件升级(3年)；产品质保(3年)</w:t>
                  </w:r>
                </w:p>
              </w:tc>
            </w:tr>
          </w:tbl>
          <w:p>
            <w:pPr>
              <w:pStyle w:val="4"/>
              <w:spacing w:before="150" w:after="150"/>
              <w:jc w:val="left"/>
              <w:outlineLvl w:val="1"/>
            </w:pPr>
            <w:r>
              <w:rPr>
                <w:b/>
                <w:color w:val="000000"/>
                <w:sz w:val="28"/>
              </w:rPr>
              <w:t>1.2.3.15.分布式存储-存储交换机（2台）配置要求</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31"/>
              <w:gridCol w:w="434"/>
              <w:gridCol w:w="512"/>
              <w:gridCol w:w="438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参数性质</w:t>
                  </w:r>
                </w:p>
              </w:tc>
              <w:tc>
                <w:tcPr>
                  <w:tcW w:w="3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序号</w:t>
                  </w:r>
                </w:p>
              </w:tc>
              <w:tc>
                <w:tcPr>
                  <w:tcW w:w="51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需求名称</w:t>
                  </w:r>
                </w:p>
              </w:tc>
              <w:tc>
                <w:tcPr>
                  <w:tcW w:w="438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需求/功能描述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w:t>
                  </w:r>
                </w:p>
              </w:tc>
              <w:tc>
                <w:tcPr>
                  <w:tcW w:w="51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网络接口</w:t>
                  </w:r>
                </w:p>
              </w:tc>
              <w:tc>
                <w:tcPr>
                  <w:tcW w:w="43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具备万兆SFP+光口≥12个，千兆电口≥12个；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w:t>
                  </w:r>
                </w:p>
              </w:tc>
              <w:tc>
                <w:tcPr>
                  <w:tcW w:w="51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性能</w:t>
                  </w:r>
                </w:p>
              </w:tc>
              <w:tc>
                <w:tcPr>
                  <w:tcW w:w="43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交换性能≥2.4Tbps，包转发率≥780Mpps；</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w:t>
                  </w:r>
                </w:p>
              </w:tc>
              <w:tc>
                <w:tcPr>
                  <w:tcW w:w="51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基本功能</w:t>
                  </w:r>
                </w:p>
              </w:tc>
              <w:tc>
                <w:tcPr>
                  <w:tcW w:w="43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支持MAC地址≥32K，支持MAC地址自动学习、源MAC地址过滤、接口MAC地址学习个数限制；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w:t>
                  </w:r>
                </w:p>
              </w:tc>
              <w:tc>
                <w:tcPr>
                  <w:tcW w:w="512" w:type="dxa"/>
                  <w:vMerge w:val="continue"/>
                  <w:tcBorders>
                    <w:top w:val="nil"/>
                    <w:left w:val="nil"/>
                    <w:bottom w:val="single" w:color="000000" w:sz="4" w:space="0"/>
                    <w:right w:val="single" w:color="000000" w:sz="4" w:space="0"/>
                  </w:tcBorders>
                </w:tcPr>
                <w:p/>
              </w:tc>
              <w:tc>
                <w:tcPr>
                  <w:tcW w:w="43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支持基于端口或堆叠口的ACL策略、基于源目IP/MAC地址的ACL策略、基于协议的ACL策略、基于时间的ACL策略；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w:t>
                  </w:r>
                </w:p>
              </w:tc>
              <w:tc>
                <w:tcPr>
                  <w:tcW w:w="512" w:type="dxa"/>
                  <w:vMerge w:val="continue"/>
                  <w:tcBorders>
                    <w:top w:val="nil"/>
                    <w:left w:val="nil"/>
                    <w:bottom w:val="single" w:color="000000" w:sz="4" w:space="0"/>
                    <w:right w:val="single" w:color="000000" w:sz="4" w:space="0"/>
                  </w:tcBorders>
                </w:tcPr>
                <w:p/>
              </w:tc>
              <w:tc>
                <w:tcPr>
                  <w:tcW w:w="43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支持Qos特性，通过多种调度模式（例如：轮询模式、严格优先模式等）实现流量基于报文或端口的优先级；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w:t>
                  </w:r>
                </w:p>
              </w:tc>
              <w:tc>
                <w:tcPr>
                  <w:tcW w:w="512" w:type="dxa"/>
                  <w:vMerge w:val="continue"/>
                  <w:tcBorders>
                    <w:top w:val="nil"/>
                    <w:left w:val="nil"/>
                    <w:bottom w:val="single" w:color="000000" w:sz="4" w:space="0"/>
                    <w:right w:val="single" w:color="000000" w:sz="4" w:space="0"/>
                  </w:tcBorders>
                </w:tcPr>
                <w:p/>
              </w:tc>
              <w:tc>
                <w:tcPr>
                  <w:tcW w:w="43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支持STP、RSTP、MSTP防环协议；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w:t>
                  </w:r>
                </w:p>
              </w:tc>
              <w:tc>
                <w:tcPr>
                  <w:tcW w:w="512" w:type="dxa"/>
                  <w:vMerge w:val="continue"/>
                  <w:tcBorders>
                    <w:top w:val="nil"/>
                    <w:left w:val="nil"/>
                    <w:bottom w:val="single" w:color="000000" w:sz="4" w:space="0"/>
                    <w:right w:val="single" w:color="000000" w:sz="4" w:space="0"/>
                  </w:tcBorders>
                </w:tcPr>
                <w:p/>
              </w:tc>
              <w:tc>
                <w:tcPr>
                  <w:tcW w:w="43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支持IEEE 802.3az 标准的 EEE节能技术：当EEE使能时，从而大幅度的减小端口在该阶段的功耗，达到了节能的目的；</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8</w:t>
                  </w:r>
                </w:p>
              </w:tc>
              <w:tc>
                <w:tcPr>
                  <w:tcW w:w="512" w:type="dxa"/>
                  <w:vMerge w:val="continue"/>
                  <w:tcBorders>
                    <w:top w:val="nil"/>
                    <w:left w:val="nil"/>
                    <w:bottom w:val="single" w:color="000000" w:sz="4" w:space="0"/>
                    <w:right w:val="single" w:color="000000" w:sz="4" w:space="0"/>
                  </w:tcBorders>
                </w:tcPr>
                <w:p/>
              </w:tc>
              <w:tc>
                <w:tcPr>
                  <w:tcW w:w="43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可以自定义交换机端口接入终端类型，及MAC黑白名单；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9</w:t>
                  </w:r>
                </w:p>
              </w:tc>
              <w:tc>
                <w:tcPr>
                  <w:tcW w:w="51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配件</w:t>
                  </w:r>
                </w:p>
              </w:tc>
              <w:tc>
                <w:tcPr>
                  <w:tcW w:w="43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实配不少于3根光纤线、6个万兆多模光模块、1根3米万兆堆叠线缆；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10</w:t>
                  </w:r>
                </w:p>
              </w:tc>
              <w:tc>
                <w:tcPr>
                  <w:tcW w:w="51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保修</w:t>
                  </w:r>
                </w:p>
              </w:tc>
              <w:tc>
                <w:tcPr>
                  <w:tcW w:w="43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1"/>
                    </w:rPr>
                    <w:t>3年7×24小时维保</w:t>
                  </w:r>
                </w:p>
              </w:tc>
            </w:tr>
          </w:tbl>
          <w:p>
            <w:pPr>
              <w:pStyle w:val="4"/>
              <w:spacing w:before="150" w:after="150"/>
              <w:jc w:val="left"/>
              <w:outlineLvl w:val="1"/>
            </w:pPr>
            <w:r>
              <w:rPr>
                <w:b/>
                <w:color w:val="000000"/>
                <w:sz w:val="28"/>
              </w:rPr>
              <w:t>1.2.3.16.分布式存储-业务交换机（2台）配置要求</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31"/>
              <w:gridCol w:w="434"/>
              <w:gridCol w:w="512"/>
              <w:gridCol w:w="438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参数性质</w:t>
                  </w:r>
                </w:p>
              </w:tc>
              <w:tc>
                <w:tcPr>
                  <w:tcW w:w="3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序号</w:t>
                  </w:r>
                </w:p>
              </w:tc>
              <w:tc>
                <w:tcPr>
                  <w:tcW w:w="51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需求名称</w:t>
                  </w:r>
                </w:p>
              </w:tc>
              <w:tc>
                <w:tcPr>
                  <w:tcW w:w="438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需求/功能描述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w:t>
                  </w:r>
                </w:p>
              </w:tc>
              <w:tc>
                <w:tcPr>
                  <w:tcW w:w="51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网络接口</w:t>
                  </w:r>
                </w:p>
              </w:tc>
              <w:tc>
                <w:tcPr>
                  <w:tcW w:w="43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具备万兆SFP+光口≥12个，千兆电口≥12个；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w:t>
                  </w:r>
                </w:p>
              </w:tc>
              <w:tc>
                <w:tcPr>
                  <w:tcW w:w="51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性能</w:t>
                  </w:r>
                </w:p>
              </w:tc>
              <w:tc>
                <w:tcPr>
                  <w:tcW w:w="43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交换性能≥2.4Tbps，包转发率≥780Mpps；</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w:t>
                  </w:r>
                </w:p>
              </w:tc>
              <w:tc>
                <w:tcPr>
                  <w:tcW w:w="51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color w:val="000000"/>
                      <w:sz w:val="22"/>
                    </w:rPr>
                    <w:t>基本功能</w:t>
                  </w:r>
                </w:p>
              </w:tc>
              <w:tc>
                <w:tcPr>
                  <w:tcW w:w="43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支持MAC地址≥32K，支持MAC地址自动学习、源MAC地址过滤、接口MAC地址学习个数限制；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w:t>
                  </w:r>
                </w:p>
              </w:tc>
              <w:tc>
                <w:tcPr>
                  <w:tcW w:w="512" w:type="dxa"/>
                  <w:vMerge w:val="continue"/>
                  <w:tcBorders>
                    <w:top w:val="nil"/>
                    <w:left w:val="nil"/>
                    <w:bottom w:val="single" w:color="000000" w:sz="4" w:space="0"/>
                    <w:right w:val="single" w:color="000000" w:sz="4" w:space="0"/>
                  </w:tcBorders>
                </w:tcPr>
                <w:p/>
              </w:tc>
              <w:tc>
                <w:tcPr>
                  <w:tcW w:w="43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支持基于端口或堆叠口的ACL策略、基于源目IP/MAC地址的ACL策略、基于协议的ACL策略、基于时间的ACL策略；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w:t>
                  </w:r>
                </w:p>
              </w:tc>
              <w:tc>
                <w:tcPr>
                  <w:tcW w:w="512" w:type="dxa"/>
                  <w:vMerge w:val="continue"/>
                  <w:tcBorders>
                    <w:top w:val="nil"/>
                    <w:left w:val="nil"/>
                    <w:bottom w:val="single" w:color="000000" w:sz="4" w:space="0"/>
                    <w:right w:val="single" w:color="000000" w:sz="4" w:space="0"/>
                  </w:tcBorders>
                </w:tcPr>
                <w:p/>
              </w:tc>
              <w:tc>
                <w:tcPr>
                  <w:tcW w:w="43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支持Qos特性，通过多种调度模式（例如：轮询模式、严格优先模式等）实现流量基于报文或端口的优先级；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w:t>
                  </w:r>
                </w:p>
              </w:tc>
              <w:tc>
                <w:tcPr>
                  <w:tcW w:w="512" w:type="dxa"/>
                  <w:vMerge w:val="continue"/>
                  <w:tcBorders>
                    <w:top w:val="nil"/>
                    <w:left w:val="nil"/>
                    <w:bottom w:val="single" w:color="000000" w:sz="4" w:space="0"/>
                    <w:right w:val="single" w:color="000000" w:sz="4" w:space="0"/>
                  </w:tcBorders>
                </w:tcPr>
                <w:p/>
              </w:tc>
              <w:tc>
                <w:tcPr>
                  <w:tcW w:w="43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支持STP、RSTP、MSTP防环协议；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w:t>
                  </w:r>
                </w:p>
              </w:tc>
              <w:tc>
                <w:tcPr>
                  <w:tcW w:w="512" w:type="dxa"/>
                  <w:vMerge w:val="continue"/>
                  <w:tcBorders>
                    <w:top w:val="nil"/>
                    <w:left w:val="nil"/>
                    <w:bottom w:val="single" w:color="000000" w:sz="4" w:space="0"/>
                    <w:right w:val="single" w:color="000000" w:sz="4" w:space="0"/>
                  </w:tcBorders>
                </w:tcPr>
                <w:p/>
              </w:tc>
              <w:tc>
                <w:tcPr>
                  <w:tcW w:w="43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支持IEEE 802.3az 标准的 EEE节能技术：当EEE使能时，从而大幅度的减小端口在该阶段的功耗，达到了节能的目的；</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8</w:t>
                  </w:r>
                </w:p>
              </w:tc>
              <w:tc>
                <w:tcPr>
                  <w:tcW w:w="512" w:type="dxa"/>
                  <w:vMerge w:val="continue"/>
                  <w:tcBorders>
                    <w:top w:val="nil"/>
                    <w:left w:val="nil"/>
                    <w:bottom w:val="single" w:color="000000" w:sz="4" w:space="0"/>
                    <w:right w:val="single" w:color="000000" w:sz="4" w:space="0"/>
                  </w:tcBorders>
                </w:tcPr>
                <w:p/>
              </w:tc>
              <w:tc>
                <w:tcPr>
                  <w:tcW w:w="43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可以自定义交换机端口接入终端类型，及MAC黑白名单；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9</w:t>
                  </w:r>
                </w:p>
              </w:tc>
              <w:tc>
                <w:tcPr>
                  <w:tcW w:w="51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配件</w:t>
                  </w:r>
                </w:p>
              </w:tc>
              <w:tc>
                <w:tcPr>
                  <w:tcW w:w="43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实配不少于7根光纤线、14个万兆多模光模块、1根3米万兆堆叠线缆；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10</w:t>
                  </w:r>
                </w:p>
              </w:tc>
              <w:tc>
                <w:tcPr>
                  <w:tcW w:w="51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保修</w:t>
                  </w:r>
                </w:p>
              </w:tc>
              <w:tc>
                <w:tcPr>
                  <w:tcW w:w="43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1"/>
                    </w:rPr>
                    <w:t>3年7×24小时维保</w:t>
                  </w:r>
                </w:p>
              </w:tc>
            </w:tr>
          </w:tbl>
          <w:p>
            <w:pPr>
              <w:pStyle w:val="4"/>
              <w:spacing w:before="150" w:after="150"/>
              <w:jc w:val="left"/>
              <w:outlineLvl w:val="1"/>
            </w:pPr>
            <w:r>
              <w:rPr>
                <w:b/>
                <w:color w:val="000000"/>
                <w:sz w:val="28"/>
              </w:rPr>
              <w:t>1.2.3.17.备份一体机（1台）配置要求</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31"/>
              <w:gridCol w:w="434"/>
              <w:gridCol w:w="510"/>
              <w:gridCol w:w="439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参数性质</w:t>
                  </w:r>
                </w:p>
              </w:tc>
              <w:tc>
                <w:tcPr>
                  <w:tcW w:w="31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序号</w:t>
                  </w:r>
                </w:p>
              </w:tc>
              <w:tc>
                <w:tcPr>
                  <w:tcW w:w="51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需求名称</w:t>
                  </w:r>
                </w:p>
              </w:tc>
              <w:tc>
                <w:tcPr>
                  <w:tcW w:w="439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需求/功能描述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w:t>
                  </w:r>
                </w:p>
              </w:tc>
              <w:tc>
                <w:tcPr>
                  <w:tcW w:w="51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硬件参数</w:t>
                  </w:r>
                </w:p>
              </w:tc>
              <w:tc>
                <w:tcPr>
                  <w:tcW w:w="43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规格：2U，内存：不少于8×32GB；系统盘：不少于2个240GB SSD；数据盘：不少于12个12T机械硬盘；标配盘位数：不少于12；电源：冗余电源；接口：不少于2个千兆电口，不少于4个万兆光口；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w:t>
                  </w:r>
                </w:p>
              </w:tc>
              <w:tc>
                <w:tcPr>
                  <w:tcW w:w="51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保修</w:t>
                  </w:r>
                </w:p>
              </w:tc>
              <w:tc>
                <w:tcPr>
                  <w:tcW w:w="43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软件升级(3年)，产品质保(3年)。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w:t>
                  </w:r>
                </w:p>
              </w:tc>
              <w:tc>
                <w:tcPr>
                  <w:tcW w:w="51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备份容量授权</w:t>
                  </w:r>
                </w:p>
              </w:tc>
              <w:tc>
                <w:tcPr>
                  <w:tcW w:w="43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配置不少于110TB备份容量授权。</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w:t>
                  </w:r>
                </w:p>
              </w:tc>
              <w:tc>
                <w:tcPr>
                  <w:tcW w:w="51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基本功能</w:t>
                  </w:r>
                </w:p>
              </w:tc>
              <w:tc>
                <w:tcPr>
                  <w:tcW w:w="43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支持任意的小时/天/月/年/仅备份一次等策略执行定时备份，操作简单，策略灵活。</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w:t>
                  </w:r>
                </w:p>
              </w:tc>
              <w:tc>
                <w:tcPr>
                  <w:tcW w:w="510" w:type="dxa"/>
                  <w:vMerge w:val="continue"/>
                  <w:tcBorders>
                    <w:top w:val="nil"/>
                    <w:left w:val="nil"/>
                    <w:bottom w:val="single" w:color="000000" w:sz="4" w:space="0"/>
                    <w:right w:val="single" w:color="000000" w:sz="4" w:space="0"/>
                  </w:tcBorders>
                </w:tcPr>
                <w:p/>
              </w:tc>
              <w:tc>
                <w:tcPr>
                  <w:tcW w:w="43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支持以邮件、企业微信告警的方式，针对于备份存储系统的软件故障、存储空间、备份任务、操作状态等信息及时通知管理员。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w:t>
                  </w:r>
                </w:p>
              </w:tc>
              <w:tc>
                <w:tcPr>
                  <w:tcW w:w="510" w:type="dxa"/>
                  <w:vMerge w:val="continue"/>
                  <w:tcBorders>
                    <w:top w:val="nil"/>
                    <w:left w:val="nil"/>
                    <w:bottom w:val="single" w:color="000000" w:sz="4" w:space="0"/>
                    <w:right w:val="single" w:color="000000" w:sz="4" w:space="0"/>
                  </w:tcBorders>
                </w:tcPr>
                <w:p/>
              </w:tc>
              <w:tc>
                <w:tcPr>
                  <w:tcW w:w="43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可自建隔离私有虚拟化验证环境，（结合我单位的实际应用系统和数据库名称、数据量和部署方式，修改为特定的参数）无论备份任务是否停止，可同时选一个备份任务的多个备份点执行虚拟化验证备份数据的一致性和可靠性，在灾难发生时采用二分法快速定位出最佳数据恢复的备份历史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w:t>
                  </w:r>
                </w:p>
              </w:tc>
              <w:tc>
                <w:tcPr>
                  <w:tcW w:w="510" w:type="dxa"/>
                  <w:vMerge w:val="continue"/>
                  <w:tcBorders>
                    <w:top w:val="nil"/>
                    <w:left w:val="nil"/>
                    <w:bottom w:val="single" w:color="000000" w:sz="4" w:space="0"/>
                    <w:right w:val="single" w:color="000000" w:sz="4" w:space="0"/>
                  </w:tcBorders>
                </w:tcPr>
                <w:p/>
              </w:tc>
              <w:tc>
                <w:tcPr>
                  <w:tcW w:w="43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X86架构下的任意源主机和异构目标机（物理机、虚拟机和云主机）灾难重建时自动完成适配驱动兼容适配，无需人工干预即可完成异构主机间灾难重建。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8</w:t>
                  </w:r>
                </w:p>
              </w:tc>
              <w:tc>
                <w:tcPr>
                  <w:tcW w:w="510" w:type="dxa"/>
                  <w:vMerge w:val="continue"/>
                  <w:tcBorders>
                    <w:top w:val="nil"/>
                    <w:left w:val="nil"/>
                    <w:bottom w:val="single" w:color="000000" w:sz="4" w:space="0"/>
                    <w:right w:val="single" w:color="000000" w:sz="4" w:space="0"/>
                  </w:tcBorders>
                </w:tcPr>
                <w:p/>
              </w:tc>
              <w:tc>
                <w:tcPr>
                  <w:tcW w:w="43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整机全场景恢复，无需部署配置操作系统、应用和数据库等系统环境，实现全场景带业务逻辑的整机灾难重建，无需人工手动安装驱动、更改注册表信息、应用配置信息等，极大降低灾难重建恢复难度和效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9</w:t>
                  </w:r>
                </w:p>
              </w:tc>
              <w:tc>
                <w:tcPr>
                  <w:tcW w:w="510" w:type="dxa"/>
                  <w:vMerge w:val="continue"/>
                  <w:tcBorders>
                    <w:top w:val="nil"/>
                    <w:left w:val="nil"/>
                    <w:bottom w:val="single" w:color="000000" w:sz="4" w:space="0"/>
                    <w:right w:val="single" w:color="000000" w:sz="4" w:space="0"/>
                  </w:tcBorders>
                </w:tcPr>
                <w:p/>
              </w:tc>
              <w:tc>
                <w:tcPr>
                  <w:tcW w:w="43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备份系统网络可配置“网卡关闭/开启策略”，还可将除备份数据传输端口外的SSH、网络访问等网络端口全部关闭，杜绝除传输备份数据流之外一切网络访问的可能，降低备份系统被攻击的概率。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10</w:t>
                  </w:r>
                </w:p>
              </w:tc>
              <w:tc>
                <w:tcPr>
                  <w:tcW w:w="510" w:type="dxa"/>
                  <w:vMerge w:val="continue"/>
                  <w:tcBorders>
                    <w:top w:val="nil"/>
                    <w:left w:val="nil"/>
                    <w:bottom w:val="single" w:color="000000" w:sz="4" w:space="0"/>
                    <w:right w:val="single" w:color="000000" w:sz="4" w:space="0"/>
                  </w:tcBorders>
                </w:tcPr>
                <w:p/>
              </w:tc>
              <w:tc>
                <w:tcPr>
                  <w:tcW w:w="43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支持为不同的备份任务、任务组、任务类型等在图形化界面上指引配置备份任务自动启停时段。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11</w:t>
                  </w:r>
                </w:p>
              </w:tc>
              <w:tc>
                <w:tcPr>
                  <w:tcW w:w="510" w:type="dxa"/>
                  <w:vMerge w:val="continue"/>
                  <w:tcBorders>
                    <w:top w:val="nil"/>
                    <w:left w:val="nil"/>
                    <w:bottom w:val="single" w:color="000000" w:sz="4" w:space="0"/>
                    <w:right w:val="single" w:color="000000" w:sz="4" w:space="0"/>
                  </w:tcBorders>
                </w:tcPr>
                <w:p/>
              </w:tc>
              <w:tc>
                <w:tcPr>
                  <w:tcW w:w="43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支持以图形或WEB方式进行批量操作管理，包括在管理范围内设备的状态和性能信息、各种数据保护参数、各种备份作业的设置信息、各种备份/恢复作业的执行状态统计信息、各种备份业务数据的相关信息等。全面支持简体中文的界面操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12</w:t>
                  </w:r>
                </w:p>
              </w:tc>
              <w:tc>
                <w:tcPr>
                  <w:tcW w:w="510" w:type="dxa"/>
                  <w:vMerge w:val="continue"/>
                  <w:tcBorders>
                    <w:top w:val="nil"/>
                    <w:left w:val="nil"/>
                    <w:bottom w:val="single" w:color="000000" w:sz="4" w:space="0"/>
                    <w:right w:val="single" w:color="000000" w:sz="4" w:space="0"/>
                  </w:tcBorders>
                </w:tcPr>
                <w:p/>
              </w:tc>
              <w:tc>
                <w:tcPr>
                  <w:tcW w:w="43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无需安装其他代理程序提供直观的简体中文图形化WEB操作控制台，可以在一个WEB图形界面里管理所有业务系统的备份系统管理, 要求所有备份、验证、接管、恢复功能统一在WEB界面上操作，统一管理。</w:t>
                  </w:r>
                </w:p>
              </w:tc>
            </w:tr>
          </w:tbl>
          <w:p>
            <w:pPr>
              <w:pStyle w:val="4"/>
              <w:spacing w:before="150" w:after="150"/>
              <w:jc w:val="left"/>
              <w:outlineLvl w:val="1"/>
            </w:pPr>
            <w:r>
              <w:rPr>
                <w:b/>
                <w:color w:val="000000"/>
                <w:sz w:val="28"/>
              </w:rPr>
              <w:t>1.2.3.18.系统集成服务（1项）要求</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31"/>
              <w:gridCol w:w="431"/>
              <w:gridCol w:w="511"/>
              <w:gridCol w:w="437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参数性质</w:t>
                  </w:r>
                </w:p>
              </w:tc>
              <w:tc>
                <w:tcPr>
                  <w:tcW w:w="31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序号</w:t>
                  </w:r>
                </w:p>
              </w:tc>
              <w:tc>
                <w:tcPr>
                  <w:tcW w:w="51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需求名称</w:t>
                  </w:r>
                </w:p>
              </w:tc>
              <w:tc>
                <w:tcPr>
                  <w:tcW w:w="437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需求/功能描述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w:t>
                  </w:r>
                </w:p>
              </w:tc>
              <w:tc>
                <w:tcPr>
                  <w:tcW w:w="511"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系统集成服务</w:t>
                  </w:r>
                </w:p>
              </w:tc>
              <w:tc>
                <w:tcPr>
                  <w:tcW w:w="437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设备所需的布线敷设安装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w:t>
                  </w:r>
                </w:p>
              </w:tc>
              <w:tc>
                <w:tcPr>
                  <w:tcW w:w="511" w:type="dxa"/>
                  <w:vMerge w:val="continue"/>
                  <w:tcBorders>
                    <w:top w:val="nil"/>
                    <w:left w:val="nil"/>
                    <w:bottom w:val="single" w:color="000000" w:sz="4" w:space="0"/>
                    <w:right w:val="single" w:color="000000" w:sz="4" w:space="0"/>
                  </w:tcBorders>
                </w:tcPr>
                <w:p/>
              </w:tc>
              <w:tc>
                <w:tcPr>
                  <w:tcW w:w="437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设备的安装上架及调试；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w:t>
                  </w:r>
                </w:p>
              </w:tc>
              <w:tc>
                <w:tcPr>
                  <w:tcW w:w="511" w:type="dxa"/>
                  <w:vMerge w:val="continue"/>
                  <w:tcBorders>
                    <w:top w:val="nil"/>
                    <w:left w:val="nil"/>
                    <w:bottom w:val="single" w:color="000000" w:sz="4" w:space="0"/>
                    <w:right w:val="single" w:color="000000" w:sz="4" w:space="0"/>
                  </w:tcBorders>
                </w:tcPr>
                <w:p/>
              </w:tc>
              <w:tc>
                <w:tcPr>
                  <w:tcW w:w="437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配套的软件安装及调试；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w:t>
                  </w:r>
                </w:p>
              </w:tc>
              <w:tc>
                <w:tcPr>
                  <w:tcW w:w="511" w:type="dxa"/>
                  <w:vMerge w:val="continue"/>
                  <w:tcBorders>
                    <w:top w:val="nil"/>
                    <w:left w:val="nil"/>
                    <w:bottom w:val="single" w:color="000000" w:sz="4" w:space="0"/>
                    <w:right w:val="single" w:color="000000" w:sz="4" w:space="0"/>
                  </w:tcBorders>
                </w:tcPr>
                <w:p/>
              </w:tc>
              <w:tc>
                <w:tcPr>
                  <w:tcW w:w="437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配合第三方软件厂家的安装部署及联调；</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31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w:t>
                  </w:r>
                </w:p>
              </w:tc>
              <w:tc>
                <w:tcPr>
                  <w:tcW w:w="511" w:type="dxa"/>
                  <w:vMerge w:val="continue"/>
                  <w:tcBorders>
                    <w:top w:val="nil"/>
                    <w:left w:val="nil"/>
                    <w:bottom w:val="single" w:color="000000" w:sz="4" w:space="0"/>
                    <w:right w:val="single" w:color="000000" w:sz="4" w:space="0"/>
                  </w:tcBorders>
                </w:tcPr>
                <w:p/>
              </w:tc>
              <w:tc>
                <w:tcPr>
                  <w:tcW w:w="437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用户使用培训。</w:t>
                  </w:r>
                </w:p>
              </w:tc>
            </w:tr>
          </w:tbl>
          <w:p>
            <w:pPr>
              <w:pStyle w:val="4"/>
              <w:spacing w:before="285" w:after="285"/>
              <w:jc w:val="left"/>
              <w:outlineLvl w:val="3"/>
            </w:pPr>
            <w:r>
              <w:rPr>
                <w:b/>
                <w:color w:val="000000"/>
                <w:sz w:val="28"/>
              </w:rPr>
              <w:t>1.2.4.本项目服务因素的要求</w:t>
            </w:r>
          </w:p>
          <w:p>
            <w:pPr>
              <w:pStyle w:val="4"/>
              <w:ind w:firstLine="440"/>
            </w:pPr>
            <w:r>
              <w:rPr>
                <w:sz w:val="22"/>
              </w:rPr>
              <w:t>（一）本项目体系认证证书的要求</w:t>
            </w:r>
          </w:p>
          <w:p>
            <w:pPr>
              <w:pStyle w:val="4"/>
              <w:ind w:firstLine="440"/>
            </w:pPr>
            <w:r>
              <w:rPr>
                <w:sz w:val="22"/>
              </w:rPr>
              <w:t>为了保障项目质量和可靠性，通过认证，考察投标人整体运营效率和效益。要求投标人具有有效期内的质量管理体系认证证书，认证范围需包含“系统集成和软件开发”类。</w:t>
            </w:r>
          </w:p>
          <w:p>
            <w:pPr>
              <w:pStyle w:val="4"/>
              <w:ind w:firstLine="440"/>
            </w:pPr>
            <w:r>
              <w:rPr>
                <w:sz w:val="22"/>
              </w:rPr>
              <w:t>（二）本项目同类业绩因素的要求</w:t>
            </w:r>
          </w:p>
          <w:p>
            <w:pPr>
              <w:pStyle w:val="4"/>
              <w:ind w:firstLine="440"/>
            </w:pPr>
            <w:r>
              <w:rPr>
                <w:sz w:val="22"/>
              </w:rPr>
              <w:t>投标人在投标文件中提供2022年1月1日至今(以合同签订时间为准)同类业绩（软件开发或系统集成类）证明材料，提供合同关键页复印件。</w:t>
            </w:r>
          </w:p>
          <w:p>
            <w:pPr>
              <w:pStyle w:val="4"/>
              <w:ind w:firstLine="440"/>
            </w:pPr>
            <w:r>
              <w:rPr>
                <w:sz w:val="22"/>
              </w:rPr>
              <w:t>（三）服务团队的需求</w:t>
            </w:r>
          </w:p>
          <w:p>
            <w:pPr>
              <w:pStyle w:val="4"/>
              <w:ind w:firstLine="440"/>
            </w:pPr>
            <w:r>
              <w:rPr>
                <w:sz w:val="22"/>
              </w:rPr>
              <w:t>（1）项目经理</w:t>
            </w:r>
          </w:p>
          <w:p>
            <w:pPr>
              <w:pStyle w:val="4"/>
              <w:ind w:firstLine="440"/>
            </w:pPr>
            <w:r>
              <w:rPr>
                <w:sz w:val="22"/>
              </w:rPr>
              <w:t>投标人为本项目安排1名项目经理，要求该名项目经理具有：（1）工业和信息部门(原信息产业部)或人力资源和社会保障部门颁发的信息系统项目管理师证书；（2）工业和信息部门(原信息产业部)或人力资源和社会保障部门颁发的系统规划与管理师证书。</w:t>
            </w:r>
          </w:p>
          <w:p>
            <w:pPr>
              <w:pStyle w:val="4"/>
              <w:ind w:firstLine="440"/>
            </w:pPr>
            <w:r>
              <w:rPr>
                <w:sz w:val="22"/>
              </w:rPr>
              <w:t>采购人设置此条款理由:项目经理需要负责本项目从领取中标通知书开始至合同验收完成的相关工作，负责每一阶段重大问题的决策，带领项目团队按时按质按量完成项目建设，故项目负责人需具备较高的信息化项目管理、规划能力等方面的技术管理能力。</w:t>
            </w:r>
          </w:p>
          <w:p>
            <w:pPr>
              <w:pStyle w:val="4"/>
              <w:ind w:firstLine="440"/>
            </w:pPr>
            <w:r>
              <w:rPr>
                <w:sz w:val="22"/>
              </w:rPr>
              <w:t>（2）技术负责人</w:t>
            </w:r>
          </w:p>
          <w:p>
            <w:pPr>
              <w:pStyle w:val="4"/>
              <w:ind w:firstLine="479"/>
            </w:pPr>
            <w:r>
              <w:rPr>
                <w:sz w:val="22"/>
              </w:rPr>
              <w:t>投标人为本项目拟派1名技术负责人，要求该名技术负责人具有：（1）工业和信息部门(原信息产业部)或人力资源和社会保障部门颁发的信息系统项目管理师证书；（2）工业和信息部门(原信息产业部)或人力资源和社会保障部门颁发的软件设计师证书；（3）工业和信息部门(原信息产业部)或人力资源和社会保障部门颁发的信息安全工程师证书。</w:t>
            </w:r>
          </w:p>
          <w:p>
            <w:pPr>
              <w:pStyle w:val="4"/>
              <w:ind w:firstLine="479"/>
            </w:pPr>
            <w:r>
              <w:rPr>
                <w:sz w:val="22"/>
              </w:rPr>
              <w:t>采购人设置此条款理由:技术负责人是项目中技术方面的专业人员，负责系统搭建、项目管理、信息安全和引导技术团队，使项目运转更加高效可靠。故技术负责人需具备对应的技术能力确保项目的合理性和规范性。</w:t>
            </w:r>
          </w:p>
          <w:p>
            <w:pPr>
              <w:pStyle w:val="4"/>
              <w:ind w:firstLine="479"/>
            </w:pPr>
            <w:r>
              <w:rPr>
                <w:sz w:val="22"/>
              </w:rPr>
              <w:t>（3）系统架构负责人</w:t>
            </w:r>
          </w:p>
          <w:p>
            <w:pPr>
              <w:pStyle w:val="4"/>
              <w:ind w:firstLine="479"/>
            </w:pPr>
            <w:r>
              <w:rPr>
                <w:sz w:val="22"/>
              </w:rPr>
              <w:t>投标人为本项目拟派1名技术负责人，要求该名技术负责人具有：（1）工业和信息部门(原信息产业部)或人力资源和社会保障部门颁发的系统架构设计师证书；（2）工业和信息部门(原信息产业部)或人力资源和社会保障部门颁发的系统分析师证书；（3）工业和信息部门(原信息产业部)或人力资源和社会保障部门颁发的数据库系统工程师证书。</w:t>
            </w:r>
          </w:p>
          <w:p>
            <w:pPr>
              <w:pStyle w:val="4"/>
              <w:ind w:firstLine="479"/>
            </w:pPr>
            <w:r>
              <w:rPr>
                <w:sz w:val="22"/>
              </w:rPr>
              <w:t>采购人设置此条款理由:系统架构负责人是项目中技术方面的专业人员，负责系统搭建、需求分析、系统建设、数据管理等技术工作，使系统建设和运转高效可靠。故新系统架构负责人需具备对应的技术能力确保系统的合理性。</w:t>
            </w:r>
          </w:p>
          <w:p>
            <w:pPr>
              <w:pStyle w:val="4"/>
              <w:ind w:firstLine="479"/>
            </w:pPr>
            <w:r>
              <w:rPr>
                <w:sz w:val="22"/>
              </w:rPr>
              <w:t>（4）技术服务团队</w:t>
            </w:r>
          </w:p>
          <w:p>
            <w:pPr>
              <w:pStyle w:val="4"/>
              <w:ind w:firstLine="479"/>
            </w:pPr>
            <w:r>
              <w:rPr>
                <w:sz w:val="22"/>
              </w:rPr>
              <w:t>根据本项目采购需求内容，要求投标人为本项目拟投入项目实施人员不少于10人（不含项目经理、技术负责人、系统架构负责人），要求具有工业和信息部门(原信息产业部)或人力资源和社会保障部门颁发的计算机技术与软件专业中级或以上技术资格证书。</w:t>
            </w:r>
          </w:p>
          <w:p>
            <w:pPr>
              <w:pStyle w:val="4"/>
              <w:ind w:firstLine="479"/>
            </w:pPr>
            <w:r>
              <w:rPr>
                <w:sz w:val="22"/>
              </w:rPr>
              <w:t>采购人设置此条款理由:服务团队是项目建设和运行的基础，也是保障项目成功的一个重要因素。故项目技术服务团队对需具备相应计算机技术与软件专业能力，有利于项目按照需求开展。</w:t>
            </w:r>
          </w:p>
          <w:p>
            <w:pPr>
              <w:pStyle w:val="4"/>
              <w:ind w:firstLine="440"/>
            </w:pPr>
            <w:r>
              <w:t xml:space="preserve"> </w:t>
            </w:r>
          </w:p>
          <w:p>
            <w:pPr>
              <w:pStyle w:val="4"/>
              <w:ind w:firstLine="440"/>
            </w:pPr>
            <w:r>
              <w:t xml:space="preserve"> </w:t>
            </w:r>
          </w:p>
          <w:p>
            <w:pPr>
              <w:pStyle w:val="4"/>
              <w:ind w:firstLine="440"/>
            </w:pPr>
            <w: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说明</w:t>
            </w:r>
          </w:p>
        </w:tc>
        <w:tc>
          <w:tcPr>
            <w:tcW w:w="6229" w:type="dxa"/>
            <w:gridSpan w:val="2"/>
          </w:tcPr>
          <w:p>
            <w:pPr>
              <w:pStyle w:val="4"/>
              <w:jc w:val="left"/>
            </w:pPr>
            <w:r>
              <w:t xml:space="preserve"> 打“★”号条款为实质性条款，若有任何一条负偏离或不满足则导致投标无效。 </w:t>
            </w:r>
            <w:r>
              <w:br w:type="textWrapping"/>
            </w:r>
            <w:r>
              <w:t>打“▲”号条款为重要技术参数，若有部分“▲”条款未响应或不满足，将导致其响应性评审加重扣分，但不作为无效投标条款。</w:t>
            </w:r>
          </w:p>
        </w:tc>
      </w:tr>
    </w:tbl>
    <w:p>
      <w:pPr>
        <w:pStyle w:val="4"/>
      </w:pPr>
      <w:r>
        <w:t xml:space="preserve">  </w:t>
      </w:r>
    </w:p>
    <w:p>
      <w:pPr>
        <w:pStyle w:val="4"/>
        <w:jc w:val="center"/>
        <w:outlineLvl w:val="1"/>
      </w:pPr>
      <w:r>
        <w:rPr>
          <w:b/>
          <w:sz w:val="36"/>
        </w:rPr>
        <w:t>第三章 投标人须知</w:t>
      </w:r>
    </w:p>
    <w:p>
      <w:pPr>
        <w:pStyle w:val="4"/>
        <w:ind w:firstLine="480"/>
      </w:pPr>
      <w: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4"/>
        <w:ind w:firstLine="480"/>
      </w:pPr>
      <w:r>
        <w:t>请注意：供应商需在投标文件截止时间前，将加密投标文件上传至云平台项目采购系统中并取得回执，逾期上传或错误方式投递送达将导致投标无效。</w:t>
      </w:r>
    </w:p>
    <w:p>
      <w:pPr>
        <w:pStyle w:val="4"/>
        <w:outlineLvl w:val="3"/>
      </w:pPr>
      <w:r>
        <w:rPr>
          <w:b/>
          <w:sz w:val="24"/>
        </w:rPr>
        <w:t>一、名词解释</w:t>
      </w:r>
    </w:p>
    <w:p>
      <w:pPr>
        <w:pStyle w:val="4"/>
        <w:ind w:firstLine="480"/>
      </w:pPr>
      <w:r>
        <w:t>1.采购代理机构：本项目是指惠州市公共资源交易中心惠城分中心，负责整个采购活动的组织，依法负责编制和发布招标文件，对招标文件拥有最终的解释权，不以任何身份出任评标委员会成员。</w:t>
      </w:r>
    </w:p>
    <w:p>
      <w:pPr>
        <w:pStyle w:val="4"/>
        <w:ind w:firstLine="480"/>
      </w:pPr>
      <w:r>
        <w:t xml:space="preserve"> 2.采购人：本项目是指惠州市第二妇幼保健院，是采购活动当事人之一，负责项目的整体规划、技术方案可行性设计论证与实施，作为合同采购方（用户）的主体承担质疑回复、履行合同、验收与评价等义务。</w:t>
      </w:r>
    </w:p>
    <w:p>
      <w:pPr>
        <w:pStyle w:val="4"/>
        <w:ind w:firstLine="480"/>
      </w:pPr>
      <w:r>
        <w:t>3.投标人：是指在云平台项目采购系统完成本项目投标登记并提交电子投标文件的供应商。</w:t>
      </w:r>
    </w:p>
    <w:p>
      <w:pPr>
        <w:pStyle w:val="4"/>
        <w:ind w:firstLine="480"/>
      </w:pPr>
      <w:r>
        <w:t>4.“评标委员会”是指根据《中华人民共和国政府采购法》等法律法规规定，由采购人代表和有关专家组成以确定中标供应商或者推荐中标候选人的临时组织。</w:t>
      </w:r>
    </w:p>
    <w:p>
      <w:pPr>
        <w:pStyle w:val="4"/>
        <w:ind w:firstLine="480"/>
      </w:pPr>
      <w:r>
        <w:t>5.“中标供应商”是指经评标委员会评审确定的对招标文件做出实质性响应，经采购人按照规定在评标委员会推荐的中标候选人中确定的或评标委员会受采购人委托直接确认的投标人。</w:t>
      </w:r>
    </w:p>
    <w:p>
      <w:pPr>
        <w:pStyle w:val="4"/>
        <w:ind w:firstLine="480"/>
      </w:pPr>
      <w:r>
        <w:t>6.招标文件：是指包括招标公告和招标文件及其补充、变更和澄清等一系列文件。</w:t>
      </w:r>
    </w:p>
    <w:p>
      <w:pPr>
        <w:pStyle w:val="4"/>
        <w:ind w:firstLine="480"/>
      </w:pPr>
      <w:r>
        <w:t>7.电子投标文件：是指使用云平台提供的投标客户端制作加密并上传到系统的投标文件。（投标客户端制作投标文件时，生成的后缀为“.标书”的文件）</w:t>
      </w:r>
    </w:p>
    <w:p>
      <w:pPr>
        <w:pStyle w:val="4"/>
        <w:ind w:firstLine="480"/>
      </w:pPr>
      <w:r>
        <w:t>8.备用电子投标文件：是指使用云平台提供的投标客户端制作电子投标文件时，同时生成的同一版本的备用投标文件。（投标客户端制作投标文件时，生成的后缀为“.备用标书”的文件）</w:t>
      </w:r>
    </w:p>
    <w:p>
      <w:pPr>
        <w:pStyle w:val="4"/>
        <w:ind w:firstLine="480"/>
      </w:pPr>
      <w: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4"/>
        <w:ind w:firstLine="480"/>
      </w:pPr>
      <w: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4"/>
        <w:ind w:firstLine="480"/>
      </w:pPr>
      <w: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4"/>
        <w:ind w:firstLine="480"/>
      </w:pPr>
      <w:r>
        <w:t>12.“法定代表人”：在电子投标（响应）文件及相关的其他电子资料中，涉及“法定代表人”应在纸质投标（响应）文件上进行手写签名，或通过投标客户端使用电子签名完成。</w:t>
      </w:r>
    </w:p>
    <w:p>
      <w:pPr>
        <w:pStyle w:val="4"/>
        <w:ind w:firstLine="480"/>
      </w:pPr>
      <w:r>
        <w:t>13.日期、天数、时间：未有特别说明时，均为公历日（天）及北京时间。</w:t>
      </w:r>
    </w:p>
    <w:p>
      <w:pPr>
        <w:pStyle w:val="4"/>
        <w:outlineLvl w:val="2"/>
      </w:pPr>
      <w:r>
        <w:rPr>
          <w:b/>
          <w:sz w:val="28"/>
        </w:rPr>
        <w:t>二、须知前附表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1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pStyle w:val="4"/>
            </w:pPr>
            <w:r>
              <w:t xml:space="preserve"> 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序号</w:t>
            </w:r>
          </w:p>
        </w:tc>
        <w:tc>
          <w:tcPr>
            <w:tcW w:w="2252" w:type="dxa"/>
          </w:tcPr>
          <w:p>
            <w:pPr>
              <w:pStyle w:val="4"/>
            </w:pPr>
            <w:r>
              <w:t xml:space="preserve"> 条款名称</w:t>
            </w:r>
          </w:p>
        </w:tc>
        <w:tc>
          <w:tcPr>
            <w:tcW w:w="5004" w:type="dxa"/>
          </w:tcPr>
          <w:p>
            <w:pPr>
              <w:pStyle w:val="4"/>
            </w:pPr>
            <w:r>
              <w:t xml:space="preserve"> 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1</w:t>
            </w:r>
          </w:p>
        </w:tc>
        <w:tc>
          <w:tcPr>
            <w:tcW w:w="2252" w:type="dxa"/>
          </w:tcPr>
          <w:p>
            <w:pPr>
              <w:pStyle w:val="4"/>
            </w:pPr>
            <w:r>
              <w:t xml:space="preserve"> 采购包情况</w:t>
            </w:r>
          </w:p>
        </w:tc>
        <w:tc>
          <w:tcPr>
            <w:tcW w:w="5004" w:type="dxa"/>
          </w:tcPr>
          <w:p>
            <w:pPr>
              <w:pStyle w:val="4"/>
            </w:pPr>
            <w:r>
              <w:t xml:space="preserve"> 本项目共1个采购包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2</w:t>
            </w:r>
          </w:p>
        </w:tc>
        <w:tc>
          <w:tcPr>
            <w:tcW w:w="2252" w:type="dxa"/>
          </w:tcPr>
          <w:p>
            <w:pPr>
              <w:pStyle w:val="4"/>
            </w:pPr>
            <w:r>
              <w:t xml:space="preserve"> 开标方式</w:t>
            </w:r>
          </w:p>
        </w:tc>
        <w:tc>
          <w:tcPr>
            <w:tcW w:w="5004" w:type="dxa"/>
          </w:tcPr>
          <w:p>
            <w:pPr>
              <w:pStyle w:val="4"/>
            </w:pPr>
            <w:r>
              <w:t>远程电子开标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3</w:t>
            </w:r>
          </w:p>
        </w:tc>
        <w:tc>
          <w:tcPr>
            <w:tcW w:w="2252" w:type="dxa"/>
          </w:tcPr>
          <w:p>
            <w:pPr>
              <w:pStyle w:val="4"/>
            </w:pPr>
            <w:r>
              <w:t xml:space="preserve"> 评标方式</w:t>
            </w:r>
          </w:p>
        </w:tc>
        <w:tc>
          <w:tcPr>
            <w:tcW w:w="5004" w:type="dxa"/>
          </w:tcPr>
          <w:p>
            <w:pPr>
              <w:pStyle w:val="4"/>
            </w:pPr>
            <w:r>
              <w:t>现场电子评标 （供应商应当审慎标记各评审项的应答部分，标记内容清晰且完整，否则将自行承担不利后果）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4</w:t>
            </w:r>
          </w:p>
        </w:tc>
        <w:tc>
          <w:tcPr>
            <w:tcW w:w="2252" w:type="dxa"/>
          </w:tcPr>
          <w:p>
            <w:pPr>
              <w:pStyle w:val="4"/>
            </w:pPr>
            <w:r>
              <w:t xml:space="preserve"> 评标办法</w:t>
            </w:r>
          </w:p>
        </w:tc>
        <w:tc>
          <w:tcPr>
            <w:tcW w:w="5004" w:type="dxa"/>
          </w:tcPr>
          <w:p>
            <w:pPr>
              <w:pStyle w:val="4"/>
            </w:pPr>
            <w:r>
              <w:t>采购包1：综合评分法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5</w:t>
            </w:r>
          </w:p>
        </w:tc>
        <w:tc>
          <w:tcPr>
            <w:tcW w:w="2252" w:type="dxa"/>
          </w:tcPr>
          <w:p>
            <w:pPr>
              <w:pStyle w:val="4"/>
            </w:pPr>
            <w:r>
              <w:t>报价形式</w:t>
            </w:r>
          </w:p>
        </w:tc>
        <w:tc>
          <w:tcPr>
            <w:tcW w:w="5004" w:type="dxa"/>
          </w:tcPr>
          <w:p>
            <w:pPr>
              <w:pStyle w:val="4"/>
            </w:pPr>
            <w:r>
              <w:t>采购包1：总价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6</w:t>
            </w:r>
          </w:p>
        </w:tc>
        <w:tc>
          <w:tcPr>
            <w:tcW w:w="2252" w:type="dxa"/>
          </w:tcPr>
          <w:p>
            <w:pPr>
              <w:pStyle w:val="4"/>
            </w:pPr>
            <w:r>
              <w:t>报价要求</w:t>
            </w:r>
          </w:p>
        </w:tc>
        <w:tc>
          <w:tcPr>
            <w:tcW w:w="5004" w:type="dxa"/>
          </w:tcPr>
          <w:p>
            <w:pPr>
              <w:pStyle w:val="4"/>
            </w:pPr>
            <w:r>
              <w:t>各采购包报价不超过预算总价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7</w:t>
            </w:r>
          </w:p>
        </w:tc>
        <w:tc>
          <w:tcPr>
            <w:tcW w:w="2252" w:type="dxa"/>
          </w:tcPr>
          <w:p>
            <w:pPr>
              <w:pStyle w:val="4"/>
            </w:pPr>
            <w:r>
              <w:t xml:space="preserve"> 现场踏勘</w:t>
            </w:r>
          </w:p>
        </w:tc>
        <w:tc>
          <w:tcPr>
            <w:tcW w:w="5004" w:type="dxa"/>
          </w:tcPr>
          <w:p>
            <w:pPr>
              <w:pStyle w:val="4"/>
            </w:pPr>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8</w:t>
            </w:r>
          </w:p>
        </w:tc>
        <w:tc>
          <w:tcPr>
            <w:tcW w:w="2252" w:type="dxa"/>
          </w:tcPr>
          <w:p>
            <w:pPr>
              <w:pStyle w:val="4"/>
            </w:pPr>
            <w:r>
              <w:t xml:space="preserve"> 投标有效期</w:t>
            </w:r>
          </w:p>
        </w:tc>
        <w:tc>
          <w:tcPr>
            <w:tcW w:w="5004" w:type="dxa"/>
          </w:tcPr>
          <w:p>
            <w:pPr>
              <w:pStyle w:val="4"/>
            </w:pPr>
            <w:r>
              <w:t>从提交投标（响应）文件的截止之日起90日历天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9</w:t>
            </w:r>
          </w:p>
        </w:tc>
        <w:tc>
          <w:tcPr>
            <w:tcW w:w="2252" w:type="dxa"/>
          </w:tcPr>
          <w:p>
            <w:pPr>
              <w:pStyle w:val="4"/>
            </w:pPr>
            <w:r>
              <w:t xml:space="preserve"> 投标保证金</w:t>
            </w:r>
          </w:p>
        </w:tc>
        <w:tc>
          <w:tcPr>
            <w:tcW w:w="5004" w:type="dxa"/>
          </w:tcPr>
          <w:p>
            <w:pPr>
              <w:pStyle w:val="4"/>
            </w:pPr>
            <w:r>
              <w:t>采购包1：保证金人民币：0.00元整。</w:t>
            </w:r>
          </w:p>
          <w:p>
            <w:pPr>
              <w:pStyle w:val="4"/>
            </w:pPr>
            <w:r>
              <w:t>开户单位： 无</w:t>
            </w:r>
          </w:p>
          <w:p>
            <w:pPr>
              <w:pStyle w:val="4"/>
            </w:pPr>
            <w:r>
              <w:t>开户账号： 无</w:t>
            </w:r>
          </w:p>
          <w:p>
            <w:pPr>
              <w:pStyle w:val="4"/>
            </w:pPr>
            <w:r>
              <w:t>开户银行： 无</w:t>
            </w:r>
          </w:p>
          <w:p>
            <w:pPr>
              <w:pStyle w:val="4"/>
            </w:pPr>
            <w:r>
              <w:t>支票提交方式： 无</w:t>
            </w:r>
          </w:p>
          <w:p>
            <w:pPr>
              <w:pStyle w:val="4"/>
            </w:pPr>
            <w:r>
              <w:t>汇票、本票提交方式： 无</w:t>
            </w:r>
          </w:p>
          <w:p>
            <w:pPr>
              <w:pStyle w:val="4"/>
              <w:ind w:firstLine="480"/>
            </w:pPr>
            <w:r>
              <w:t>投标保证金有效期∶与投标有效期一致。</w:t>
            </w:r>
          </w:p>
          <w:p>
            <w:pPr>
              <w:pStyle w:val="4"/>
              <w:ind w:firstLine="480"/>
            </w:pPr>
            <w: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10</w:t>
            </w:r>
          </w:p>
        </w:tc>
        <w:tc>
          <w:tcPr>
            <w:tcW w:w="2252" w:type="dxa"/>
          </w:tcPr>
          <w:p>
            <w:pPr>
              <w:pStyle w:val="4"/>
            </w:pPr>
            <w:r>
              <w:t xml:space="preserve"> 投标文件要求</w:t>
            </w:r>
          </w:p>
        </w:tc>
        <w:tc>
          <w:tcPr>
            <w:tcW w:w="5004" w:type="dxa"/>
          </w:tcPr>
          <w:p>
            <w:pPr>
              <w:pStyle w:val="4"/>
              <w:ind w:firstLine="480"/>
            </w:pPr>
            <w:r>
              <w:rPr>
                <w:b/>
              </w:rPr>
              <w:t>一、电子投标文件（必须提供）：</w:t>
            </w:r>
          </w:p>
          <w:p>
            <w:pPr>
              <w:pStyle w:val="4"/>
              <w:ind w:firstLine="480"/>
            </w:pPr>
            <w:r>
              <w:t>（1）加密的电子投标文件 1 份（需在递交投标文件截止时间前成功上传至云平台项目采购系统）。</w:t>
            </w:r>
          </w:p>
          <w:p>
            <w:pPr>
              <w:pStyle w:val="4"/>
              <w:ind w:firstLine="480"/>
            </w:pPr>
            <w:r>
              <w:t>（2）非加密电子版文件 U 盘(或光盘)0份，加密的电子投标文件与非加密的电子投标文件必须完全一致。</w:t>
            </w:r>
          </w:p>
          <w:p>
            <w:pPr>
              <w:pStyle w:val="4"/>
              <w:ind w:firstLine="480"/>
            </w:pPr>
            <w:r>
              <w:rPr>
                <w:b/>
              </w:rPr>
              <w:t>非加密电子版投标文件使用情形:</w:t>
            </w:r>
            <w:r>
              <w:t xml:space="preserve"> 当无法使用 CA 证书在云平台项目采购系统进行电子投标文件开标解密时，供应商须在代理机构指引下启用非加密电子版投标文件。</w:t>
            </w:r>
          </w:p>
          <w:p>
            <w:pPr>
              <w:pStyle w:val="4"/>
              <w:ind w:firstLine="480"/>
            </w:pPr>
            <w:r>
              <w:rPr>
                <w:b/>
              </w:rPr>
              <w:t>二、纸质投标文件（代理机构自行选择）：</w:t>
            </w:r>
            <w: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t>当项目采购系统出现故障，无法使用电子投标文件评标时，代理机构可根据云平台发布的通知指引，根据实际情况使用纸质投标文件评标。</w:t>
            </w:r>
            <w:r>
              <w:br w:type="textWrapping"/>
            </w:r>
            <w:r>
              <w:t>在电子投标文件能正常使用的情况下，不得因供应商未提交纸质投标文件而认定供应商投标无效。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11</w:t>
            </w:r>
          </w:p>
        </w:tc>
        <w:tc>
          <w:tcPr>
            <w:tcW w:w="2252" w:type="dxa"/>
          </w:tcPr>
          <w:p>
            <w:pPr>
              <w:pStyle w:val="4"/>
            </w:pPr>
            <w:r>
              <w:t xml:space="preserve"> 中标候选供应商推荐家数</w:t>
            </w:r>
          </w:p>
        </w:tc>
        <w:tc>
          <w:tcPr>
            <w:tcW w:w="5004" w:type="dxa"/>
          </w:tcPr>
          <w:p>
            <w:pPr>
              <w:pStyle w:val="4"/>
            </w:pPr>
            <w:r>
              <w:t>采购包1：2家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12</w:t>
            </w:r>
          </w:p>
        </w:tc>
        <w:tc>
          <w:tcPr>
            <w:tcW w:w="2252" w:type="dxa"/>
          </w:tcPr>
          <w:p>
            <w:pPr>
              <w:pStyle w:val="4"/>
              <w:ind w:firstLine="480"/>
            </w:pPr>
            <w:r>
              <w:t>中标供应商数量</w:t>
            </w:r>
          </w:p>
        </w:tc>
        <w:tc>
          <w:tcPr>
            <w:tcW w:w="5004" w:type="dxa"/>
          </w:tcPr>
          <w:p>
            <w:pPr>
              <w:pStyle w:val="4"/>
            </w:pPr>
            <w:r>
              <w:t>采购包1：1家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13</w:t>
            </w:r>
          </w:p>
        </w:tc>
        <w:tc>
          <w:tcPr>
            <w:tcW w:w="2252" w:type="dxa"/>
          </w:tcPr>
          <w:p>
            <w:pPr>
              <w:pStyle w:val="4"/>
              <w:ind w:firstLine="480"/>
            </w:pPr>
            <w:r>
              <w:t>有效供应商家数</w:t>
            </w:r>
          </w:p>
        </w:tc>
        <w:tc>
          <w:tcPr>
            <w:tcW w:w="5004" w:type="dxa"/>
          </w:tcPr>
          <w:p>
            <w:pPr>
              <w:pStyle w:val="4"/>
              <w:jc w:val="left"/>
            </w:pPr>
            <w:r>
              <w:t>采购包1：3家</w:t>
            </w:r>
          </w:p>
          <w:p>
            <w:pPr>
              <w:pStyle w:val="4"/>
              <w:ind w:firstLine="480"/>
            </w:pPr>
            <w:r>
              <w:t>此人数约定了开标与评标过程中的最低有效供应商家数，当家数不足时项目将不得开标、不得评标或直接废标。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14</w:t>
            </w:r>
          </w:p>
        </w:tc>
        <w:tc>
          <w:tcPr>
            <w:tcW w:w="2252" w:type="dxa"/>
          </w:tcPr>
          <w:p>
            <w:pPr>
              <w:pStyle w:val="4"/>
            </w:pPr>
            <w:r>
              <w:t xml:space="preserve"> 项目兼投兼中（兼投不兼中）规则</w:t>
            </w:r>
          </w:p>
        </w:tc>
        <w:tc>
          <w:tcPr>
            <w:tcW w:w="5004" w:type="dxa"/>
          </w:tcPr>
          <w:p>
            <w:pPr>
              <w:pStyle w:val="4"/>
            </w:pPr>
            <w: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15</w:t>
            </w:r>
          </w:p>
        </w:tc>
        <w:tc>
          <w:tcPr>
            <w:tcW w:w="2252" w:type="dxa"/>
          </w:tcPr>
          <w:p>
            <w:pPr>
              <w:pStyle w:val="4"/>
            </w:pPr>
            <w:r>
              <w:t xml:space="preserve"> 中标供应商确定方式</w:t>
            </w:r>
          </w:p>
        </w:tc>
        <w:tc>
          <w:tcPr>
            <w:tcW w:w="5004" w:type="dxa"/>
          </w:tcPr>
          <w:p>
            <w:pPr>
              <w:pStyle w:val="4"/>
            </w:pPr>
            <w:r>
              <w:t>采购人按照评审报告中推荐的成交候选人确定中标（成交）人。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16</w:t>
            </w:r>
          </w:p>
        </w:tc>
        <w:tc>
          <w:tcPr>
            <w:tcW w:w="2252" w:type="dxa"/>
          </w:tcPr>
          <w:p>
            <w:pPr>
              <w:pStyle w:val="4"/>
            </w:pPr>
            <w:r>
              <w:t xml:space="preserve"> 代理服务费</w:t>
            </w:r>
          </w:p>
        </w:tc>
        <w:tc>
          <w:tcPr>
            <w:tcW w:w="5004" w:type="dxa"/>
          </w:tcPr>
          <w:p>
            <w:pPr>
              <w:pStyle w:val="4"/>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17</w:t>
            </w:r>
          </w:p>
        </w:tc>
        <w:tc>
          <w:tcPr>
            <w:tcW w:w="2252" w:type="dxa"/>
          </w:tcPr>
          <w:p>
            <w:pPr>
              <w:pStyle w:val="4"/>
            </w:pPr>
            <w:r>
              <w:t xml:space="preserve"> 代理服务费收取方式</w:t>
            </w:r>
          </w:p>
        </w:tc>
        <w:tc>
          <w:tcPr>
            <w:tcW w:w="5004" w:type="dxa"/>
          </w:tcPr>
          <w:p>
            <w:pPr>
              <w:pStyle w:val="4"/>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18</w:t>
            </w:r>
          </w:p>
        </w:tc>
        <w:tc>
          <w:tcPr>
            <w:tcW w:w="2252" w:type="dxa"/>
          </w:tcPr>
          <w:p>
            <w:pPr>
              <w:pStyle w:val="4"/>
            </w:pPr>
            <w:r>
              <w:t xml:space="preserve"> 其他</w:t>
            </w:r>
          </w:p>
        </w:tc>
        <w:tc>
          <w:tcPr>
            <w:tcW w:w="500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19</w:t>
            </w:r>
          </w:p>
        </w:tc>
        <w:tc>
          <w:tcPr>
            <w:tcW w:w="2252" w:type="dxa"/>
          </w:tcPr>
          <w:p>
            <w:pPr>
              <w:pStyle w:val="4"/>
            </w:pPr>
            <w:r>
              <w:t xml:space="preserve"> 开标解密时长</w:t>
            </w:r>
          </w:p>
        </w:tc>
        <w:tc>
          <w:tcPr>
            <w:tcW w:w="5004" w:type="dxa"/>
          </w:tcPr>
          <w:p>
            <w:pPr>
              <w:pStyle w:val="4"/>
            </w:pPr>
            <w:r>
              <w:t>30分钟</w:t>
            </w:r>
          </w:p>
          <w:p>
            <w:pPr>
              <w:pStyle w:val="4"/>
            </w:pPr>
            <w:r>
              <w:t>说明：具体情况根据开标时现场代理机构人员设置为准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20</w:t>
            </w:r>
          </w:p>
        </w:tc>
        <w:tc>
          <w:tcPr>
            <w:tcW w:w="2252" w:type="dxa"/>
          </w:tcPr>
          <w:p>
            <w:pPr>
              <w:pStyle w:val="4"/>
            </w:pPr>
            <w:r>
              <w:t xml:space="preserve"> 专门面向中小企业采购</w:t>
            </w:r>
          </w:p>
        </w:tc>
        <w:tc>
          <w:tcPr>
            <w:tcW w:w="5004" w:type="dxa"/>
          </w:tcPr>
          <w:p>
            <w:pPr>
              <w:pStyle w:val="4"/>
              <w:jc w:val="left"/>
            </w:pPr>
            <w:r>
              <w:t>采购包1：非专门面向中小企业</w:t>
            </w:r>
          </w:p>
        </w:tc>
      </w:tr>
    </w:tbl>
    <w:p>
      <w:pPr>
        <w:pStyle w:val="4"/>
        <w:outlineLvl w:val="2"/>
      </w:pPr>
      <w:r>
        <w:rPr>
          <w:b/>
          <w:sz w:val="28"/>
        </w:rPr>
        <w:t>三、说明</w:t>
      </w:r>
    </w:p>
    <w:p>
      <w:pPr>
        <w:pStyle w:val="4"/>
        <w:outlineLvl w:val="3"/>
      </w:pPr>
      <w:r>
        <w:rPr>
          <w:b/>
          <w:sz w:val="24"/>
        </w:rPr>
        <w:t>1.总则</w:t>
      </w:r>
    </w:p>
    <w:p>
      <w:pPr>
        <w:pStyle w:val="4"/>
        <w:ind w:firstLine="480"/>
      </w:pPr>
      <w:r>
        <w:t>采购人、采购代理机构及投标人进行的本次采购活动适用《中华人民共和国政府采购法》及其配套的法规、规章、政策。</w:t>
      </w:r>
    </w:p>
    <w:p>
      <w:pPr>
        <w:pStyle w:val="4"/>
        <w:ind w:firstLine="480"/>
      </w:pPr>
      <w: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4"/>
        <w:ind w:firstLine="480"/>
      </w:pPr>
      <w:r>
        <w:t>本次公开招标项目，是以招标公告的方式邀请非特定的投标人参加投标。</w:t>
      </w:r>
    </w:p>
    <w:p>
      <w:pPr>
        <w:pStyle w:val="4"/>
        <w:outlineLvl w:val="3"/>
      </w:pPr>
      <w:r>
        <w:rPr>
          <w:b/>
          <w:sz w:val="24"/>
        </w:rPr>
        <w:t>2.适用范围</w:t>
      </w:r>
    </w:p>
    <w:p>
      <w:pPr>
        <w:pStyle w:val="4"/>
        <w:ind w:firstLine="480"/>
      </w:pPr>
      <w:r>
        <w:t>本招标文件仅适用于本次招标公告中所涉及的项目和内容。</w:t>
      </w:r>
    </w:p>
    <w:p>
      <w:pPr>
        <w:pStyle w:val="4"/>
        <w:outlineLvl w:val="3"/>
      </w:pPr>
      <w:r>
        <w:rPr>
          <w:b/>
          <w:sz w:val="24"/>
        </w:rPr>
        <w:t>3.进口产品</w:t>
      </w:r>
    </w:p>
    <w:p>
      <w:pPr>
        <w:pStyle w:val="4"/>
        <w:ind w:firstLine="480"/>
      </w:pPr>
      <w:r>
        <w:t xml:space="preserve"> 若本项目允许采购进口产品，供应商应保证所投产品可履行合法报通关手续进入中国关境内。</w:t>
      </w:r>
    </w:p>
    <w:p>
      <w:pPr>
        <w:pStyle w:val="4"/>
        <w:ind w:firstLine="480"/>
      </w:pPr>
      <w:r>
        <w:t>若本项目不允许采购进口产品，如供应商所投产品为进口产品，其响应将被认定为响应无效。</w:t>
      </w:r>
    </w:p>
    <w:p>
      <w:pPr>
        <w:pStyle w:val="4"/>
        <w:outlineLvl w:val="3"/>
      </w:pPr>
      <w:r>
        <w:rPr>
          <w:b/>
          <w:sz w:val="24"/>
        </w:rPr>
        <w:t>4.投标的费用</w:t>
      </w:r>
    </w:p>
    <w:p>
      <w:pPr>
        <w:pStyle w:val="4"/>
        <w:ind w:firstLine="480"/>
      </w:pPr>
      <w:r>
        <w:t>不论投标结果如何，投标人应承担所有与准备和参加投标有关的费用。采购代理机构和采购人均无义务和责任承担相关费用。</w:t>
      </w:r>
    </w:p>
    <w:p>
      <w:pPr>
        <w:pStyle w:val="4"/>
        <w:outlineLvl w:val="3"/>
      </w:pPr>
      <w:r>
        <w:rPr>
          <w:b/>
          <w:sz w:val="24"/>
        </w:rPr>
        <w:t>5.以联合体形式投标的，应符合以下规定：</w:t>
      </w:r>
    </w:p>
    <w:p>
      <w:pPr>
        <w:pStyle w:val="4"/>
        <w:ind w:firstLine="480"/>
      </w:pPr>
      <w:r>
        <w:t>5.1联合体各方均应当满足《中华人民共和国政府采购法》第二十二条规定的条件，并在投标文件中提供联合体各方的相关证明材料。</w:t>
      </w:r>
    </w:p>
    <w:p>
      <w:pPr>
        <w:pStyle w:val="4"/>
        <w:ind w:firstLine="480"/>
      </w:pPr>
      <w: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4"/>
        <w:ind w:firstLine="480"/>
      </w:pPr>
      <w: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4"/>
        <w:ind w:firstLine="480"/>
      </w:pPr>
      <w:r>
        <w:t>5.4联合体成员存在不良信用记录的，视同联合体存在不良信用记录。</w:t>
      </w:r>
    </w:p>
    <w:p>
      <w:pPr>
        <w:pStyle w:val="4"/>
        <w:ind w:firstLine="480"/>
      </w:pPr>
      <w: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4"/>
        <w:ind w:firstLine="480"/>
      </w:pPr>
      <w:r>
        <w:t>5.6联合体各方应当共同与采购人签订采购合同，就合同约定的事项对采购人承担连带责任。</w:t>
      </w:r>
    </w:p>
    <w:p>
      <w:pPr>
        <w:pStyle w:val="4"/>
        <w:outlineLvl w:val="3"/>
      </w:pPr>
      <w:r>
        <w:rPr>
          <w:b/>
          <w:sz w:val="24"/>
        </w:rPr>
        <w:t>6.关联企业投标说明</w:t>
      </w:r>
    </w:p>
    <w:p>
      <w:pPr>
        <w:pStyle w:val="4"/>
        <w:ind w:firstLine="480"/>
      </w:pPr>
      <w: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4"/>
        <w:ind w:firstLine="480"/>
      </w:pPr>
      <w: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4"/>
        <w:outlineLvl w:val="3"/>
      </w:pPr>
      <w:r>
        <w:rPr>
          <w:b/>
          <w:sz w:val="24"/>
        </w:rPr>
        <w:t>7.关于中小微企业投标</w:t>
      </w:r>
    </w:p>
    <w:p>
      <w:pPr>
        <w:pStyle w:val="4"/>
        <w:ind w:firstLine="480"/>
      </w:pPr>
      <w: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4"/>
        <w:ind w:firstLine="480"/>
      </w:pPr>
      <w: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4"/>
        <w:ind w:firstLine="480"/>
      </w:pPr>
      <w: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4"/>
        <w:outlineLvl w:val="3"/>
      </w:pPr>
      <w:r>
        <w:rPr>
          <w:b/>
          <w:sz w:val="24"/>
        </w:rPr>
        <w:t>8.纪律与保密事项</w:t>
      </w:r>
    </w:p>
    <w:p>
      <w:pPr>
        <w:pStyle w:val="4"/>
        <w:ind w:firstLine="480"/>
      </w:pPr>
      <w:r>
        <w:t>8.1投标人不得相互串通投标报价，不得妨碍其他投标人的公平竞争，不得损害采购人或其他投标人的合法权益，投标人不得以向采购人、评标委员会成员行贿或者采取其他不正当手段谋取中标。</w:t>
      </w:r>
    </w:p>
    <w:p>
      <w:pPr>
        <w:pStyle w:val="4"/>
        <w:ind w:firstLine="480"/>
      </w:pPr>
      <w:r>
        <w:t>8.2在确定中标供应商之前，投标人不得与采购人就投标价格、投标方案等实质性内容进行谈判，也不得私下接触评标委员会成员。</w:t>
      </w:r>
    </w:p>
    <w:p>
      <w:pPr>
        <w:pStyle w:val="4"/>
        <w:ind w:firstLine="480"/>
      </w:pPr>
      <w:r>
        <w:t>8.3在确定中标供应商之前，投标人试图在投标文件审查、澄清、比较和评价时对评标委员会、采购人和采购代理机构施加任何影响都可能导致其投标无效。</w:t>
      </w:r>
    </w:p>
    <w:p>
      <w:pPr>
        <w:pStyle w:val="4"/>
        <w:ind w:firstLine="480"/>
      </w:pPr>
      <w:r>
        <w:t>8.4获得本招标文件者，须履行本项目下保密义务，不得将因本次项目获得的信息向第三人外传，不得将招标文件用作本次投标以外的任何用途。</w:t>
      </w:r>
    </w:p>
    <w:p>
      <w:pPr>
        <w:pStyle w:val="4"/>
        <w:ind w:firstLine="480"/>
      </w:pPr>
      <w: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4"/>
        <w:ind w:firstLine="480"/>
      </w:pPr>
      <w:r>
        <w:t>8.6采购人或采购代理机构有权将供应商提供的所有资料向有关政府部门或评审小组披露。</w:t>
      </w:r>
    </w:p>
    <w:p>
      <w:pPr>
        <w:pStyle w:val="4"/>
        <w:ind w:firstLine="480"/>
      </w:pPr>
      <w: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4"/>
        <w:outlineLvl w:val="3"/>
      </w:pPr>
      <w:r>
        <w:rPr>
          <w:b/>
          <w:sz w:val="24"/>
        </w:rPr>
        <w:t>9.语言文字以及度量衡单位</w:t>
      </w:r>
    </w:p>
    <w:p>
      <w:pPr>
        <w:pStyle w:val="4"/>
        <w:ind w:firstLine="480"/>
      </w:pPr>
      <w: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4"/>
        <w:ind w:firstLine="480"/>
      </w:pPr>
      <w:r>
        <w:t>9.2除非招标文件的技术规格中另有规定，投标人在投标文件中及其与采购人和采购代理机构的所有往来文件中的计量单位均应采用中华人民共和国法定计量单位。</w:t>
      </w:r>
    </w:p>
    <w:p>
      <w:pPr>
        <w:pStyle w:val="4"/>
        <w:ind w:firstLine="480"/>
      </w:pPr>
      <w:r>
        <w:t>9.3投标人所提供的货物和服务均应以人民币报价，货币单位：元。</w:t>
      </w:r>
    </w:p>
    <w:p>
      <w:pPr>
        <w:pStyle w:val="4"/>
        <w:outlineLvl w:val="3"/>
      </w:pPr>
      <w:r>
        <w:rPr>
          <w:b/>
          <w:sz w:val="24"/>
        </w:rPr>
        <w:t>10. 现场踏勘（如有）</w:t>
      </w:r>
    </w:p>
    <w:p>
      <w:pPr>
        <w:pStyle w:val="4"/>
        <w:ind w:firstLine="480"/>
      </w:pPr>
      <w:r>
        <w:t>10.1招标文件规定组织踏勘现场的，采购人按招标文件规定的时间、地点组织投标人踏勘项目现场。</w:t>
      </w:r>
    </w:p>
    <w:p>
      <w:pPr>
        <w:pStyle w:val="4"/>
        <w:ind w:firstLine="480"/>
      </w:pPr>
      <w:r>
        <w:t>10.2投标人自行承担踏勘现场发生的责任、风险和自身费用。</w:t>
      </w:r>
    </w:p>
    <w:p>
      <w:pPr>
        <w:pStyle w:val="4"/>
        <w:ind w:firstLine="480"/>
      </w:pPr>
      <w:r>
        <w:t>10.3采购人在踏勘现场中介绍的资料和数据等，只是为了使投标人能够利用招标人现有的资料。招标人对投标人由此而作出的推论、解释和结论概不负责。</w:t>
      </w:r>
    </w:p>
    <w:p>
      <w:pPr>
        <w:pStyle w:val="4"/>
        <w:outlineLvl w:val="2"/>
      </w:pPr>
      <w:r>
        <w:rPr>
          <w:b/>
          <w:sz w:val="28"/>
        </w:rPr>
        <w:t>四、招标文件的澄清和修改</w:t>
      </w:r>
    </w:p>
    <w:p>
      <w:pPr>
        <w:pStyle w:val="4"/>
        <w:ind w:firstLine="480"/>
      </w:pPr>
      <w: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4"/>
        <w:ind w:firstLine="480"/>
      </w:pPr>
      <w: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4"/>
        <w:ind w:firstLine="480"/>
      </w:pPr>
      <w:r>
        <w:t>3.如更正公告有重新发布电子招标文件的，供应商应登录云平台项目采购系统下载最新发布的电子招标文件制作投标文件。</w:t>
      </w:r>
    </w:p>
    <w:p>
      <w:pPr>
        <w:pStyle w:val="4"/>
        <w:ind w:firstLine="480"/>
      </w:pPr>
      <w: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4"/>
        <w:outlineLvl w:val="2"/>
      </w:pPr>
      <w:r>
        <w:rPr>
          <w:b/>
          <w:sz w:val="28"/>
        </w:rPr>
        <w:t>五、投标要求</w:t>
      </w:r>
    </w:p>
    <w:p>
      <w:pPr>
        <w:pStyle w:val="4"/>
        <w:outlineLvl w:val="3"/>
      </w:pPr>
      <w:r>
        <w:rPr>
          <w:b/>
          <w:sz w:val="24"/>
        </w:rPr>
        <w:t>1.投标登记</w:t>
      </w:r>
    </w:p>
    <w:p>
      <w:pPr>
        <w:pStyle w:val="4"/>
        <w:ind w:firstLine="480"/>
      </w:pPr>
      <w: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4"/>
        <w:outlineLvl w:val="3"/>
      </w:pPr>
      <w:r>
        <w:rPr>
          <w:b/>
          <w:sz w:val="24"/>
        </w:rPr>
        <w:t>2.投标文件的制作</w:t>
      </w:r>
    </w:p>
    <w:p>
      <w:pPr>
        <w:pStyle w:val="4"/>
        <w:ind w:firstLine="480"/>
      </w:pPr>
      <w: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4"/>
        <w:ind w:firstLine="480"/>
      </w:pPr>
      <w: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4"/>
        <w:ind w:firstLine="480"/>
      </w:pPr>
      <w: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4"/>
        <w:ind w:firstLine="480"/>
      </w:pPr>
      <w:r>
        <w:t>(2)投标报价包括本项目采购需求和投入使用的所有费用，包括但不限于主件、标准附件、备品备件、施工、服务、专用工具、安装、调试、检验、培训、运输、保险、税款等。</w:t>
      </w:r>
    </w:p>
    <w:p>
      <w:pPr>
        <w:pStyle w:val="4"/>
        <w:ind w:firstLine="480"/>
      </w:pPr>
      <w:r>
        <w:t>2.3 如有对多个采购包投标的，要对每个采购包独立制作电子投标文件。</w:t>
      </w:r>
    </w:p>
    <w:p>
      <w:pPr>
        <w:pStyle w:val="4"/>
        <w:ind w:firstLine="480"/>
      </w:pPr>
      <w:r>
        <w:t>2.4投标人不得将同一个项目或同一个采购包的内容拆开投标，否则其报价将被视为非实质性响应。</w:t>
      </w:r>
    </w:p>
    <w:p>
      <w:pPr>
        <w:pStyle w:val="4"/>
        <w:ind w:firstLine="480"/>
      </w:pPr>
      <w:r>
        <w:t>2.5投标人须对招标文件的对应要求给予唯一的实质性响应，否则将视为不响应。</w:t>
      </w:r>
    </w:p>
    <w:p>
      <w:pPr>
        <w:pStyle w:val="4"/>
        <w:ind w:firstLine="480"/>
      </w:pPr>
      <w:r>
        <w:t>2.6招标文件中，凡标有“★”的地方均为实质性响应条款，投标人若有一项带“★”的条款未响应或不满足，将按无效投标处理。</w:t>
      </w:r>
    </w:p>
    <w:p>
      <w:pPr>
        <w:pStyle w:val="4"/>
        <w:ind w:firstLine="480"/>
      </w:pPr>
      <w: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4"/>
        <w:ind w:firstLine="480"/>
      </w:pPr>
      <w: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4"/>
        <w:ind w:firstLine="480"/>
      </w:pPr>
      <w: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4"/>
        <w:outlineLvl w:val="3"/>
      </w:pPr>
      <w:r>
        <w:rPr>
          <w:b/>
          <w:sz w:val="24"/>
        </w:rPr>
        <w:t>3.投标文件的提交</w:t>
      </w:r>
    </w:p>
    <w:p>
      <w:pPr>
        <w:pStyle w:val="4"/>
        <w:ind w:firstLine="480"/>
      </w:pPr>
      <w: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4"/>
        <w:ind w:firstLine="480"/>
      </w:pPr>
      <w:r>
        <w:t>3.2代理机构对因不可抗力事件造成的投标文件的损坏、丢失的，不承担责任。</w:t>
      </w:r>
    </w:p>
    <w:p>
      <w:pPr>
        <w:pStyle w:val="4"/>
        <w:ind w:firstLine="480"/>
      </w:pPr>
      <w:r>
        <w:t>3.3出现下述情形之一，属于未成功提交投标文件，按无效投标处理：</w:t>
      </w:r>
    </w:p>
    <w:p>
      <w:pPr>
        <w:pStyle w:val="4"/>
        <w:ind w:firstLine="480"/>
      </w:pPr>
      <w:r>
        <w:t>（1）至提交投标文件截止时，投标文件未完整上传的。</w:t>
      </w:r>
    </w:p>
    <w:p>
      <w:pPr>
        <w:pStyle w:val="4"/>
        <w:ind w:firstLine="480"/>
      </w:pPr>
      <w:r>
        <w:t>（2）投标文件未按投标格式中注明需签字盖章的要求进行签名（含电子签名）和加盖电子印章，或签名（含电子签名）或电子印章不完整的。</w:t>
      </w:r>
    </w:p>
    <w:p>
      <w:pPr>
        <w:pStyle w:val="4"/>
        <w:ind w:firstLine="480"/>
      </w:pPr>
      <w:r>
        <w:t>（3）投标文件损坏或格式不正确的。</w:t>
      </w:r>
    </w:p>
    <w:p>
      <w:pPr>
        <w:pStyle w:val="4"/>
        <w:outlineLvl w:val="3"/>
      </w:pPr>
      <w:r>
        <w:rPr>
          <w:b/>
          <w:sz w:val="24"/>
        </w:rPr>
        <w:t>4.投标文件的修改、撤回与撤销</w:t>
      </w:r>
    </w:p>
    <w:p>
      <w:pPr>
        <w:pStyle w:val="4"/>
        <w:ind w:firstLine="480"/>
      </w:pPr>
      <w: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4"/>
        <w:ind w:firstLine="480"/>
      </w:pPr>
      <w:r>
        <w:t>4.2在提交投标文件截止时间后，投标人不得补充、修改和更换投标文件。</w:t>
      </w:r>
    </w:p>
    <w:p>
      <w:pPr>
        <w:pStyle w:val="4"/>
        <w:outlineLvl w:val="3"/>
      </w:pPr>
      <w:r>
        <w:rPr>
          <w:b/>
          <w:sz w:val="24"/>
        </w:rPr>
        <w:t>5.投标文件的解密</w:t>
      </w:r>
    </w:p>
    <w:p>
      <w:pPr>
        <w:pStyle w:val="4"/>
        <w:ind w:firstLine="480"/>
      </w:pPr>
      <w: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4"/>
        <w:outlineLvl w:val="3"/>
      </w:pPr>
      <w:r>
        <w:rPr>
          <w:b/>
          <w:sz w:val="24"/>
        </w:rPr>
        <w:t>6.投标保证金</w:t>
      </w:r>
    </w:p>
    <w:p>
      <w:pPr>
        <w:pStyle w:val="4"/>
        <w:ind w:firstLine="480"/>
      </w:pPr>
      <w:r>
        <w:t xml:space="preserve"> 6.1投标保证金的缴纳</w:t>
      </w:r>
    </w:p>
    <w:p>
      <w:pPr>
        <w:pStyle w:val="4"/>
        <w:ind w:firstLine="480"/>
      </w:pPr>
      <w:r>
        <w:t>投标人在提交投标文件时，应按投标人须知前附表规定的金额和缴纳要求缴纳投标保证金，并作为其投标文件的组成部分。</w:t>
      </w:r>
    </w:p>
    <w:p>
      <w:pPr>
        <w:pStyle w:val="4"/>
        <w:ind w:firstLine="480"/>
      </w:pPr>
      <w:r>
        <w:t xml:space="preserve"> 如采用转账、支票、本票、汇票形式提交的，投标保证金从投标人基本账户递交，由惠州市公共资源交易中心惠城分中心代收。具体操作要求详见惠州市公共资源交易中心惠城分中心有关指引，递交事宜请自行咨询惠州市公共资源交易中心惠城分中心；请各投标人在投标文件递交截止时间前按须知前附表规定的金额递交至惠州市公共资源交易中心惠城分中心，到账情况以开标时惠州市公共资源交易中心惠城分中心查询的信息为准。</w:t>
      </w:r>
    </w:p>
    <w:p>
      <w:pPr>
        <w:pStyle w:val="4"/>
        <w:ind w:firstLine="480"/>
      </w:pPr>
      <w:r>
        <w:t>如采用金融机构、专业担保机构开具的投标担保函、投标保证保险函等形式提交投标保证金的，投标担保函或投标保证保险函须开具给采购人（保险受益人须为采购人），并与投标文件一同递交。</w:t>
      </w:r>
    </w:p>
    <w:p>
      <w:pPr>
        <w:pStyle w:val="4"/>
        <w:ind w:firstLine="480"/>
      </w:pPr>
      <w:r>
        <w:t xml:space="preserve"> 投标人可通过"广东政府采购智慧云平台金融服务中心"(https://gdgpo.czt.gd.gov.cn/zcdservice/zcd/guangdong/)，申请办理电子保函，电子保函与纸质保函具有同样效力。</w:t>
      </w:r>
    </w:p>
    <w:p>
      <w:pPr>
        <w:pStyle w:val="4"/>
        <w:ind w:firstLine="480"/>
      </w:pPr>
      <w: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pStyle w:val="4"/>
        <w:ind w:firstLine="480"/>
      </w:pPr>
      <w:r>
        <w:t xml:space="preserve"> 6.2投标保证金的退还：</w:t>
      </w:r>
    </w:p>
    <w:p>
      <w:pPr>
        <w:pStyle w:val="4"/>
        <w:ind w:firstLine="480"/>
      </w:pPr>
      <w:r>
        <w:t>（1）投标人在投标截止时间前放弃投标的，自所投采购包结果公告发出后5个工作日内退还。</w:t>
      </w:r>
    </w:p>
    <w:p>
      <w:pPr>
        <w:pStyle w:val="4"/>
        <w:ind w:firstLine="480"/>
      </w:pPr>
      <w:r>
        <w:t>（2）未中标的投标人投标保证金，自中标通知书发出之日起5个工作日内退还。</w:t>
      </w:r>
    </w:p>
    <w:p>
      <w:pPr>
        <w:pStyle w:val="4"/>
        <w:ind w:firstLine="480"/>
      </w:pPr>
      <w:r>
        <w:t>（3）中标供应商的投标保证金，自政府采购合同签订之日起5个工作日内退还。</w:t>
      </w:r>
    </w:p>
    <w:p>
      <w:pPr>
        <w:pStyle w:val="4"/>
        <w:ind w:firstLine="480"/>
      </w:pPr>
      <w:r>
        <w:t>备注：但因投标人自身原因导致无法及时退还的除外。</w:t>
      </w:r>
    </w:p>
    <w:p>
      <w:pPr>
        <w:pStyle w:val="4"/>
        <w:ind w:firstLine="480"/>
      </w:pPr>
      <w:r>
        <w:t xml:space="preserve"> 6.3有下列情形之一的，投标保证金将不予退还：</w:t>
      </w:r>
    </w:p>
    <w:p>
      <w:pPr>
        <w:pStyle w:val="4"/>
        <w:ind w:firstLine="480"/>
      </w:pPr>
      <w:r>
        <w:t>（1）提供虚假材料谋取中标、成交的；</w:t>
      </w:r>
    </w:p>
    <w:p>
      <w:pPr>
        <w:pStyle w:val="4"/>
        <w:ind w:firstLine="480"/>
      </w:pPr>
      <w:r>
        <w:t>（2）投标人在招标文件规定的投标有效期内撤销其投标；</w:t>
      </w:r>
    </w:p>
    <w:p>
      <w:pPr>
        <w:pStyle w:val="4"/>
        <w:ind w:firstLine="480"/>
      </w:pPr>
      <w:r>
        <w:t>（3）中标后，无正当理由放弃中标资格；</w:t>
      </w:r>
    </w:p>
    <w:p>
      <w:pPr>
        <w:pStyle w:val="4"/>
        <w:ind w:firstLine="480"/>
      </w:pPr>
      <w:r>
        <w:t>（4）中标后，无正当理由不与采购人签订合同；</w:t>
      </w:r>
    </w:p>
    <w:p>
      <w:pPr>
        <w:pStyle w:val="4"/>
        <w:ind w:firstLine="480"/>
      </w:pPr>
      <w:r>
        <w:t>（5）法律法规和招标文件规定的其他情形。</w:t>
      </w:r>
    </w:p>
    <w:p>
      <w:pPr>
        <w:pStyle w:val="4"/>
        <w:outlineLvl w:val="3"/>
      </w:pPr>
      <w:r>
        <w:rPr>
          <w:b/>
          <w:sz w:val="24"/>
        </w:rPr>
        <w:t>7.投标有效期</w:t>
      </w:r>
    </w:p>
    <w:p>
      <w:pPr>
        <w:pStyle w:val="4"/>
        <w:ind w:firstLine="480"/>
      </w:pPr>
      <w:r>
        <w:t>7.1投标有效期内投标人撤销投标文件的，采购人或者采购代理机构可以不退还投标保证金（如有）。采用投标保函方式替代保证金的，采购人或者采购代理机构可以向担保机构索赔保证金。</w:t>
      </w:r>
    </w:p>
    <w:p>
      <w:pPr>
        <w:pStyle w:val="4"/>
        <w:ind w:firstLine="480"/>
      </w:pPr>
      <w: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4"/>
        <w:outlineLvl w:val="3"/>
      </w:pPr>
      <w:r>
        <w:rPr>
          <w:b/>
          <w:sz w:val="24"/>
        </w:rPr>
        <w:t>8.样品（演示）</w:t>
      </w:r>
    </w:p>
    <w:p>
      <w:pPr>
        <w:pStyle w:val="4"/>
        <w:ind w:firstLine="480"/>
      </w:pPr>
      <w:r>
        <w:t>8.1招标文件规定投标人提交样品的，样品属于投标文件的组成部分。样品的生产、运输、安装、保全等一切费用由投标人自理。</w:t>
      </w:r>
    </w:p>
    <w:p>
      <w:pPr>
        <w:pStyle w:val="4"/>
        <w:ind w:firstLine="480"/>
      </w:pPr>
      <w:r>
        <w:t>8.2投标截止时间前，投标人应将样品送达至指定地点。若需要现场演示的，投标人应提前做好演示准备（包括演示设备）。</w:t>
      </w:r>
    </w:p>
    <w:p>
      <w:pPr>
        <w:pStyle w:val="4"/>
        <w:ind w:firstLine="480"/>
      </w:pPr>
      <w: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4"/>
        <w:outlineLvl w:val="3"/>
      </w:pPr>
      <w:r>
        <w:rPr>
          <w:b/>
          <w:sz w:val="24"/>
        </w:rPr>
        <w:t>9.除招标文件另有规定外，有下列情形之一的，投标无效：</w:t>
      </w:r>
    </w:p>
    <w:p>
      <w:pPr>
        <w:pStyle w:val="4"/>
        <w:ind w:firstLine="480"/>
      </w:pPr>
      <w:r>
        <w:t>9.1投标文件未按照招标文件要求签署、盖章；</w:t>
      </w:r>
    </w:p>
    <w:p>
      <w:pPr>
        <w:pStyle w:val="4"/>
        <w:ind w:firstLine="480"/>
      </w:pPr>
      <w:r>
        <w:t>9.2不符合招标文件中规定的资格要求；</w:t>
      </w:r>
    </w:p>
    <w:p>
      <w:pPr>
        <w:pStyle w:val="4"/>
        <w:ind w:firstLine="480"/>
      </w:pPr>
      <w:r>
        <w:t>9.3投标报价超过招标文件中规定的预算金额或最高限价；</w:t>
      </w:r>
    </w:p>
    <w:p>
      <w:pPr>
        <w:pStyle w:val="4"/>
        <w:ind w:firstLine="480"/>
      </w:pPr>
      <w:r>
        <w:t>9.4投标文件含有采购人不能接受的附加条件；</w:t>
      </w:r>
    </w:p>
    <w:p>
      <w:pPr>
        <w:pStyle w:val="4"/>
        <w:ind w:firstLine="480"/>
      </w:pPr>
      <w:r>
        <w:t>9.5有关法律、法规和规章及招标文件规定的其他无效情形。</w:t>
      </w:r>
    </w:p>
    <w:p>
      <w:pPr>
        <w:pStyle w:val="4"/>
        <w:outlineLvl w:val="2"/>
      </w:pPr>
      <w:r>
        <w:rPr>
          <w:b/>
          <w:sz w:val="28"/>
        </w:rPr>
        <w:t>六、开标、评标和定标</w:t>
      </w:r>
    </w:p>
    <w:p>
      <w:pPr>
        <w:pStyle w:val="4"/>
        <w:outlineLvl w:val="3"/>
      </w:pPr>
      <w:r>
        <w:rPr>
          <w:b/>
          <w:sz w:val="24"/>
        </w:rPr>
        <w:t>1.开标</w:t>
      </w:r>
    </w:p>
    <w:p>
      <w:pPr>
        <w:pStyle w:val="4"/>
        <w:ind w:firstLine="480"/>
      </w:pPr>
      <w:r>
        <w:t>1.1 开标程序</w:t>
      </w:r>
    </w:p>
    <w:p>
      <w:pPr>
        <w:pStyle w:val="4"/>
        <w:ind w:firstLine="480"/>
      </w:pPr>
      <w: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4"/>
        <w:ind w:firstLine="480"/>
      </w:pPr>
      <w: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4"/>
        <w:ind w:firstLine="480"/>
      </w:pPr>
      <w: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4"/>
        <w:ind w:firstLine="480"/>
      </w:pPr>
      <w: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4"/>
        <w:ind w:firstLine="480"/>
      </w:pPr>
      <w: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4"/>
        <w:ind w:firstLine="480"/>
      </w:pPr>
      <w:r>
        <w:t>1.2开标异议</w:t>
      </w:r>
    </w:p>
    <w:p>
      <w:pPr>
        <w:pStyle w:val="4"/>
        <w:ind w:firstLine="480"/>
      </w:pPr>
      <w:r>
        <w:t>投标人代表对开标过程和开标记录有疑义，以及认为采购人、采购代理机构相关工作人员有需要回避的情形的，应当场提出询问或者回避申请。投标人未参加开标的，视同认可开标结果。</w:t>
      </w:r>
    </w:p>
    <w:p>
      <w:pPr>
        <w:pStyle w:val="4"/>
        <w:ind w:firstLine="480"/>
      </w:pPr>
      <w:r>
        <w:t>1.3 投标截止时间后，投标人不足须知前附表中约定的有效供应商家数的，不得开标。同时，本次采购活动结束。</w:t>
      </w:r>
    </w:p>
    <w:p>
      <w:pPr>
        <w:pStyle w:val="4"/>
        <w:ind w:firstLine="480"/>
      </w:pPr>
      <w:r>
        <w:t>1.4开标时出现下列情况的，视为投标无效处理：</w:t>
      </w:r>
    </w:p>
    <w:p>
      <w:pPr>
        <w:pStyle w:val="4"/>
        <w:ind w:firstLine="480"/>
      </w:pPr>
      <w:r>
        <w:t>（1）经检查数字证书无效的；</w:t>
      </w:r>
    </w:p>
    <w:p>
      <w:pPr>
        <w:pStyle w:val="4"/>
        <w:ind w:firstLine="480"/>
      </w:pPr>
      <w:r>
        <w:t>（2）因投标人自身原因，未在规定时间内完成电子投标文件解密的；</w:t>
      </w:r>
    </w:p>
    <w:p>
      <w:pPr>
        <w:pStyle w:val="4"/>
        <w:ind w:firstLine="480"/>
      </w:pPr>
      <w: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4"/>
        <w:outlineLvl w:val="3"/>
      </w:pPr>
      <w:r>
        <w:rPr>
          <w:b/>
          <w:sz w:val="24"/>
        </w:rPr>
        <w:t>2.评审（详见第四章）</w:t>
      </w:r>
    </w:p>
    <w:p>
      <w:pPr>
        <w:pStyle w:val="4"/>
        <w:outlineLvl w:val="3"/>
      </w:pPr>
      <w:r>
        <w:rPr>
          <w:b/>
          <w:sz w:val="24"/>
        </w:rPr>
        <w:t>3.定标</w:t>
      </w:r>
    </w:p>
    <w:p>
      <w:pPr>
        <w:pStyle w:val="4"/>
        <w:ind w:firstLine="480"/>
      </w:pPr>
      <w:r>
        <w:t>3.1中标公告：</w:t>
      </w:r>
    </w:p>
    <w:p>
      <w:pPr>
        <w:pStyle w:val="4"/>
        <w:ind w:firstLine="480"/>
      </w:pPr>
      <w:r>
        <w:t>中标供应商确定之日起2个工作日内， 采购人或采购代理机构将在中国政府采购网(www.ccgp.gov.cn)、广东省政府采购网(https://gdgpo.czt.gd.gov.cn/)上以公告的形式发布中标结果，中标公告的公告期限为 1 个工作日。中标公告同时作为采购代理机构通知除中标供应商外的其他投标人没有中标的书面形式，采购代理机构不再以其它方式另行通知。</w:t>
      </w:r>
    </w:p>
    <w:p>
      <w:pPr>
        <w:pStyle w:val="4"/>
        <w:ind w:firstLine="480"/>
      </w:pPr>
      <w:r>
        <w:t>3.2中标通知书：</w:t>
      </w:r>
    </w:p>
    <w:p>
      <w:pPr>
        <w:pStyle w:val="4"/>
        <w:ind w:firstLine="480"/>
      </w:pPr>
      <w: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4"/>
        <w:ind w:firstLine="480"/>
      </w:pPr>
      <w:r>
        <w:t>3.3终止公告：</w:t>
      </w:r>
    </w:p>
    <w:p>
      <w:pPr>
        <w:pStyle w:val="4"/>
        <w:ind w:firstLine="480"/>
      </w:pPr>
      <w:r>
        <w:t xml:space="preserve"> 项目废标后，采购人或采购代理机构将在中国政府采购网(www.ccgp.gov.cn)、广东省政府采购网(https://gdgpo.czt.gd.gov.cn/)、上发布终止公告，终止公告的公告期限为1个工作日。</w:t>
      </w:r>
    </w:p>
    <w:p>
      <w:pPr>
        <w:pStyle w:val="4"/>
        <w:outlineLvl w:val="2"/>
      </w:pPr>
      <w:r>
        <w:rPr>
          <w:b/>
          <w:sz w:val="28"/>
        </w:rPr>
        <w:t>七、询问、质疑与投诉</w:t>
      </w:r>
    </w:p>
    <w:p>
      <w:pPr>
        <w:pStyle w:val="4"/>
        <w:outlineLvl w:val="3"/>
      </w:pPr>
      <w:r>
        <w:rPr>
          <w:b/>
          <w:sz w:val="24"/>
        </w:rPr>
        <w:t>1.询问</w:t>
      </w:r>
    </w:p>
    <w:p>
      <w:pPr>
        <w:pStyle w:val="4"/>
        <w:ind w:firstLine="480"/>
      </w:pPr>
      <w: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4"/>
        <w:outlineLvl w:val="3"/>
      </w:pPr>
      <w:r>
        <w:rPr>
          <w:b/>
          <w:sz w:val="24"/>
        </w:rPr>
        <w:t>2.质疑</w:t>
      </w:r>
    </w:p>
    <w:p>
      <w:pPr>
        <w:pStyle w:val="4"/>
        <w:ind w:firstLine="480"/>
      </w:pPr>
      <w: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4"/>
        <w:ind w:firstLine="480"/>
      </w:pPr>
      <w:r>
        <w:t>(1)对招标文件提出质疑的，为获取招标文件之日或者招标文件公告期限届满之日；</w:t>
      </w:r>
    </w:p>
    <w:p>
      <w:pPr>
        <w:pStyle w:val="4"/>
        <w:ind w:firstLine="480"/>
      </w:pPr>
      <w:r>
        <w:t>(2)对采购过程提出质疑的，为各采购程序环节结束之日；</w:t>
      </w:r>
    </w:p>
    <w:p>
      <w:pPr>
        <w:pStyle w:val="4"/>
        <w:ind w:firstLine="480"/>
      </w:pPr>
      <w:r>
        <w:t>(3)对中标结果提出质疑的，为中标结果公告期限届满之日。</w:t>
      </w:r>
    </w:p>
    <w:p>
      <w:pPr>
        <w:pStyle w:val="4"/>
        <w:ind w:firstLine="480"/>
      </w:pPr>
      <w:r>
        <w:t>2.2质疑函应当包括下列主要内容：</w:t>
      </w:r>
    </w:p>
    <w:p>
      <w:pPr>
        <w:pStyle w:val="4"/>
        <w:ind w:firstLine="480"/>
      </w:pPr>
      <w:r>
        <w:t>(1)质疑供应商和相关供应商的名称、地址、邮编、联系人及联系电话等；</w:t>
      </w:r>
    </w:p>
    <w:p>
      <w:pPr>
        <w:pStyle w:val="4"/>
        <w:ind w:firstLine="480"/>
      </w:pPr>
      <w:r>
        <w:t>(2)质疑项目名称及编号、具体明确的质疑事项和与质疑事项相关的请求；</w:t>
      </w:r>
    </w:p>
    <w:p>
      <w:pPr>
        <w:pStyle w:val="4"/>
        <w:ind w:firstLine="480"/>
      </w:pPr>
      <w:r>
        <w:t>(3)认为采购文件、采购过程、中标和成交结果使自己的合法权益受到损害的法律依据、事实依据、相关证明材料及证据来源；</w:t>
      </w:r>
    </w:p>
    <w:p>
      <w:pPr>
        <w:pStyle w:val="4"/>
        <w:ind w:firstLine="480"/>
      </w:pPr>
      <w:r>
        <w:t>(4)提出质疑的日期。</w:t>
      </w:r>
    </w:p>
    <w:p>
      <w:pPr>
        <w:pStyle w:val="4"/>
        <w:ind w:firstLine="480"/>
      </w:pPr>
      <w:r>
        <w:t>2.3 质疑函应当署名。质疑供应商为自然人的，应当由本人签字；质疑供应商为法人或者其他组织的，应当由法定代表人、主要负责人，或者其授权代表签字或者盖章，并加盖公章。</w:t>
      </w:r>
    </w:p>
    <w:p>
      <w:pPr>
        <w:pStyle w:val="4"/>
        <w:ind w:firstLine="480"/>
      </w:pPr>
      <w:r>
        <w:t>2.4以联合体形式参加政府采购活动的，其质疑应当由联合体成员委托主体提出。</w:t>
      </w:r>
    </w:p>
    <w:p>
      <w:pPr>
        <w:pStyle w:val="4"/>
        <w:ind w:firstLine="480"/>
      </w:pPr>
      <w: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4"/>
        <w:ind w:firstLine="480"/>
      </w:pPr>
      <w:r>
        <w:t>2.6质疑联系方式如下：</w:t>
      </w:r>
    </w:p>
    <w:p>
      <w:pPr>
        <w:pStyle w:val="4"/>
        <w:ind w:firstLine="480"/>
      </w:pPr>
      <w:r>
        <w:t>质疑联系人：陈女士</w:t>
      </w:r>
    </w:p>
    <w:p>
      <w:pPr>
        <w:pStyle w:val="4"/>
        <w:ind w:firstLine="480"/>
      </w:pPr>
      <w:r>
        <w:t>电话：0752-7381667</w:t>
      </w:r>
    </w:p>
    <w:p>
      <w:pPr>
        <w:pStyle w:val="4"/>
        <w:ind w:firstLine="480"/>
      </w:pPr>
      <w:r>
        <w:t>传真：无</w:t>
      </w:r>
    </w:p>
    <w:p>
      <w:pPr>
        <w:pStyle w:val="4"/>
        <w:ind w:firstLine="480"/>
      </w:pPr>
      <w:r>
        <w:t>邮箱：无</w:t>
      </w:r>
    </w:p>
    <w:p>
      <w:pPr>
        <w:pStyle w:val="4"/>
        <w:ind w:firstLine="480"/>
      </w:pPr>
      <w:r>
        <w:t>地址：惠州市惠城区上排大岭路10号</w:t>
      </w:r>
    </w:p>
    <w:p>
      <w:pPr>
        <w:pStyle w:val="4"/>
        <w:ind w:firstLine="480"/>
      </w:pPr>
      <w:r>
        <w:t>邮编：无</w:t>
      </w:r>
    </w:p>
    <w:p>
      <w:pPr>
        <w:pStyle w:val="4"/>
        <w:outlineLvl w:val="3"/>
      </w:pPr>
      <w:r>
        <w:rPr>
          <w:b/>
          <w:sz w:val="24"/>
        </w:rPr>
        <w:t>3.投诉</w:t>
      </w:r>
    </w:p>
    <w:p>
      <w:pPr>
        <w:pStyle w:val="4"/>
        <w:ind w:firstLine="480"/>
      </w:pPr>
      <w:r>
        <w:t>质疑人对采购人或采购代理机构的质疑答复不满意或在规定时间内未得到答复的，可以在答复期满后15个工作日内，按如下联系方式向本项目监督管理部门提起投诉。</w:t>
      </w:r>
    </w:p>
    <w:p>
      <w:pPr>
        <w:pStyle w:val="4"/>
      </w:pPr>
      <w:r>
        <w:t>政府采购监督管理机构名称：惠州市惠城区政府采购事务中心</w:t>
      </w:r>
    </w:p>
    <w:p>
      <w:pPr>
        <w:pStyle w:val="4"/>
      </w:pPr>
      <w:r>
        <w:t>地 址：惠州市惠城区龙丰上排新联路5号</w:t>
      </w:r>
    </w:p>
    <w:p>
      <w:pPr>
        <w:pStyle w:val="4"/>
      </w:pPr>
      <w:r>
        <w:t>电 话：0752-7809708</w:t>
      </w:r>
    </w:p>
    <w:p>
      <w:pPr>
        <w:pStyle w:val="4"/>
      </w:pPr>
      <w:r>
        <w:t>邮 编：516000</w:t>
      </w:r>
    </w:p>
    <w:p>
      <w:pPr>
        <w:pStyle w:val="4"/>
      </w:pPr>
      <w:r>
        <w:t>传 真：0752-7809707</w:t>
      </w:r>
    </w:p>
    <w:p>
      <w:pPr>
        <w:pStyle w:val="4"/>
        <w:outlineLvl w:val="2"/>
      </w:pPr>
      <w:r>
        <w:rPr>
          <w:b/>
          <w:sz w:val="28"/>
        </w:rPr>
        <w:t>八、合同签订和履行</w:t>
      </w:r>
    </w:p>
    <w:p>
      <w:pPr>
        <w:pStyle w:val="4"/>
        <w:outlineLvl w:val="3"/>
      </w:pPr>
      <w:r>
        <w:rPr>
          <w:b/>
          <w:sz w:val="24"/>
        </w:rPr>
        <w:t>1.合同签订</w:t>
      </w:r>
    </w:p>
    <w:p>
      <w:pPr>
        <w:pStyle w:val="4"/>
        <w:ind w:firstLine="480"/>
      </w:pPr>
      <w: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4"/>
        <w:ind w:firstLine="480"/>
      </w:pPr>
      <w:r>
        <w:t>1.2采购人不得提出试用合格等任何不合理的要求作为签订合同的条件，且不得与中标供应商私下订立背离合同实质性内容的协议。</w:t>
      </w:r>
    </w:p>
    <w:p>
      <w:pPr>
        <w:pStyle w:val="4"/>
        <w:ind w:firstLine="480"/>
      </w:pPr>
      <w:r>
        <w:t>1.3合同条款中应规定，乙方完全遵守《中华人民共和国民法典》有关规定和《中华人民共和国妇女权益保障法》中关于“劳动和社会保障权益”的有关要求。</w:t>
      </w:r>
    </w:p>
    <w:p>
      <w:pPr>
        <w:pStyle w:val="4"/>
        <w:ind w:firstLine="480"/>
      </w:pPr>
      <w:r>
        <w:t>1.4采购人应当自政府采购合同签订之日起2个工作日内，将政府采购合同在省级以上人民政府财政部门指定的媒体上公告，但政府采购合同中涉及国家秘密、商业秘密的内容除外。</w:t>
      </w:r>
    </w:p>
    <w:p>
      <w:pPr>
        <w:pStyle w:val="4"/>
        <w:ind w:firstLine="480"/>
      </w:pPr>
      <w: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4"/>
        <w:outlineLvl w:val="3"/>
      </w:pPr>
      <w:r>
        <w:rPr>
          <w:b/>
          <w:sz w:val="24"/>
        </w:rPr>
        <w:t>2.合同的履行</w:t>
      </w:r>
    </w:p>
    <w:p>
      <w:pPr>
        <w:pStyle w:val="4"/>
        <w:ind w:firstLine="480"/>
      </w:pPr>
      <w:r>
        <w:t xml:space="preserve"> 2.1政府采购合同订立后，合同各方不得擅自变更、中止或者终止合同。</w:t>
      </w:r>
    </w:p>
    <w:p>
      <w:pPr>
        <w:pStyle w:val="4"/>
        <w:ind w:firstLine="480"/>
      </w:pPr>
      <w: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4"/>
      </w:pPr>
      <w:r>
        <w:t xml:space="preserve">  </w:t>
      </w:r>
    </w:p>
    <w:p>
      <w:pPr>
        <w:pStyle w:val="4"/>
        <w:jc w:val="center"/>
        <w:outlineLvl w:val="1"/>
      </w:pPr>
      <w:r>
        <w:rPr>
          <w:b/>
          <w:sz w:val="36"/>
        </w:rPr>
        <w:t>第四章 评标</w:t>
      </w:r>
    </w:p>
    <w:p>
      <w:pPr>
        <w:pStyle w:val="4"/>
        <w:outlineLvl w:val="2"/>
      </w:pPr>
      <w:r>
        <w:rPr>
          <w:b/>
          <w:sz w:val="28"/>
        </w:rPr>
        <w:t>一、评标要求</w:t>
      </w:r>
    </w:p>
    <w:p>
      <w:pPr>
        <w:pStyle w:val="4"/>
        <w:outlineLvl w:val="3"/>
      </w:pPr>
      <w:r>
        <w:rPr>
          <w:b/>
          <w:sz w:val="24"/>
        </w:rPr>
        <w:t>1.评标方法</w:t>
      </w:r>
    </w:p>
    <w:p>
      <w:pPr>
        <w:pStyle w:val="4"/>
      </w:pPr>
      <w:r>
        <w:t>采购包1(惠州市第二妇幼保健院HIS系统升级改造项目)：综合评分法,是指投标文件满足招标文件全部实质性要求，且按照评审因素的量化指标评审得分最高的投标人为中标候选人的评标方法。（最低报价不是中标的唯一依据。）</w:t>
      </w:r>
    </w:p>
    <w:p>
      <w:pPr>
        <w:pStyle w:val="4"/>
        <w:outlineLvl w:val="3"/>
      </w:pPr>
      <w:r>
        <w:rPr>
          <w:b/>
          <w:sz w:val="24"/>
        </w:rPr>
        <w:t>2.评标原则</w:t>
      </w:r>
    </w:p>
    <w:p>
      <w:pPr>
        <w:pStyle w:val="4"/>
        <w:ind w:firstLine="480"/>
      </w:pPr>
      <w:r>
        <w:t>2.1评标活动遵循公平、公正、科学和择优的原则，以招标文件和投标文件为评标的基本依据，并按照招标文件规定的评标方法和评标标准进行评标。</w:t>
      </w:r>
    </w:p>
    <w:p>
      <w:pPr>
        <w:pStyle w:val="4"/>
        <w:ind w:firstLine="480"/>
      </w:pPr>
      <w:r>
        <w:t>2.2具体评标事项由评标委员会负责，并按招标文件的规定办法进行评审。</w:t>
      </w:r>
    </w:p>
    <w:p>
      <w:pPr>
        <w:pStyle w:val="4"/>
        <w:ind w:firstLine="480"/>
      </w:pPr>
      <w:r>
        <w:t>2.3合格投标人不足须知前附表中约定的有效供应商家数的，不得评标。</w:t>
      </w:r>
    </w:p>
    <w:p>
      <w:pPr>
        <w:pStyle w:val="4"/>
        <w:outlineLvl w:val="3"/>
      </w:pPr>
      <w:r>
        <w:rPr>
          <w:b/>
          <w:sz w:val="24"/>
        </w:rPr>
        <w:t>3.评标委员会</w:t>
      </w:r>
    </w:p>
    <w:p>
      <w:pPr>
        <w:pStyle w:val="4"/>
        <w:ind w:firstLine="480"/>
      </w:pPr>
      <w:r>
        <w:t>3.1评标委员会由采购人代表和评审专家组成，成员人数应当为5人及以上单数，其中评审专家不得少于成员总数的三分之二。</w:t>
      </w:r>
    </w:p>
    <w:p>
      <w:pPr>
        <w:pStyle w:val="4"/>
        <w:ind w:firstLine="480"/>
      </w:pPr>
      <w:r>
        <w:t>3.2评标应遵守下列评标纪律：</w:t>
      </w:r>
    </w:p>
    <w:p>
      <w:pPr>
        <w:pStyle w:val="4"/>
        <w:ind w:firstLine="480"/>
      </w:pPr>
      <w:r>
        <w:t>（1）评标情况不得私自外泄，有关信息由惠州市公共资源交易中心惠城分中心统一对外发布。</w:t>
      </w:r>
    </w:p>
    <w:p>
      <w:pPr>
        <w:pStyle w:val="4"/>
        <w:ind w:firstLine="480"/>
      </w:pPr>
      <w:r>
        <w:t>（2）对惠州市公共资源交易中心惠城分中心或投标人提供的要求保密的资料，不得摘记翻印和外传。</w:t>
      </w:r>
    </w:p>
    <w:p>
      <w:pPr>
        <w:pStyle w:val="4"/>
        <w:ind w:firstLine="480"/>
      </w:pPr>
      <w:r>
        <w:t>（3）不得收受投标供应商或有关人员的任何礼物，不得串联鼓动其他人袒护某投标人。若与投标人存在利害关系，则应主动声明并回避。</w:t>
      </w:r>
    </w:p>
    <w:p>
      <w:pPr>
        <w:pStyle w:val="4"/>
        <w:ind w:firstLine="480"/>
      </w:pPr>
      <w:r>
        <w:t>（4）全体评委应按照招标文件规定进行评标，一切认定事项应查有实据且不得弄虚作假。</w:t>
      </w:r>
    </w:p>
    <w:p>
      <w:pPr>
        <w:pStyle w:val="4"/>
        <w:ind w:firstLine="480"/>
      </w:pPr>
      <w:r>
        <w:t>（5）评标委员会各成员应当独立对每个投标人的投标文件进行评价，并对评价意见承担个人责任。评审过程中，不得发表倾向性言论。</w:t>
      </w:r>
    </w:p>
    <w:p>
      <w:pPr>
        <w:pStyle w:val="4"/>
        <w:ind w:firstLine="480"/>
      </w:pPr>
      <w:r>
        <w:t>※对违反评标纪律的评委，将取消其评委资格，对评标工作造成严重损失者将予以通报批评乃至追究法律责任。</w:t>
      </w:r>
    </w:p>
    <w:p>
      <w:pPr>
        <w:pStyle w:val="4"/>
        <w:outlineLvl w:val="3"/>
      </w:pPr>
      <w:r>
        <w:rPr>
          <w:b/>
          <w:sz w:val="24"/>
        </w:rPr>
        <w:t>4.有下列情形之一的，视为投标人串通投标，其投标无效；</w:t>
      </w:r>
    </w:p>
    <w:p>
      <w:pPr>
        <w:pStyle w:val="4"/>
        <w:ind w:firstLine="480"/>
      </w:pPr>
      <w:r>
        <w:t>4.1不同投标人的投标文件由同一单位或者个人编制；</w:t>
      </w:r>
    </w:p>
    <w:p>
      <w:pPr>
        <w:pStyle w:val="4"/>
        <w:ind w:firstLine="480"/>
      </w:pPr>
      <w:r>
        <w:t>4.2不同投标人委托同一单位或者个人办理投标事宜；</w:t>
      </w:r>
    </w:p>
    <w:p>
      <w:pPr>
        <w:pStyle w:val="4"/>
        <w:ind w:firstLine="480"/>
      </w:pPr>
      <w:r>
        <w:t>4.3不同投标人的投标文件载明的项目管理成员或者联系人员为同一人；</w:t>
      </w:r>
    </w:p>
    <w:p>
      <w:pPr>
        <w:pStyle w:val="4"/>
        <w:ind w:firstLine="480"/>
      </w:pPr>
      <w:r>
        <w:t>4.4不同投标人的投标文件异常一致或者投标报价呈规律性差异；</w:t>
      </w:r>
    </w:p>
    <w:p>
      <w:pPr>
        <w:pStyle w:val="4"/>
        <w:ind w:firstLine="480"/>
      </w:pPr>
      <w:r>
        <w:t>4.5不同投标人的投标文件相互混装；</w:t>
      </w:r>
    </w:p>
    <w:p>
      <w:pPr>
        <w:pStyle w:val="4"/>
        <w:ind w:firstLine="480"/>
      </w:pPr>
      <w:r>
        <w:t>4.6不同投标人的投标保证金或购买电子保函支付款为从同一单位或个人的账户转出；</w:t>
      </w:r>
    </w:p>
    <w:p>
      <w:pPr>
        <w:pStyle w:val="4"/>
        <w:ind w:firstLine="480"/>
      </w:pPr>
      <w:r>
        <w:t>4.7投标人上传的电子投标文件使用该项目其他投标人的数字证书加密的或加盖该项目的其他投标人的电子印章的。</w:t>
      </w:r>
    </w:p>
    <w:p>
      <w:pPr>
        <w:pStyle w:val="4"/>
        <w:ind w:firstLine="480"/>
      </w:pPr>
      <w:r>
        <w:t xml:space="preserve"> 说明：在评标过程中发现投标人有上述情形的，评标委员会应当认定其投标无效。同时，项目评审时被认定为串通投标的投标人不得参加该合同项下的采购活动。</w:t>
      </w:r>
    </w:p>
    <w:p>
      <w:pPr>
        <w:pStyle w:val="4"/>
        <w:outlineLvl w:val="3"/>
      </w:pPr>
      <w:r>
        <w:rPr>
          <w:b/>
          <w:sz w:val="24"/>
        </w:rPr>
        <w:t>5.投标无效的情形</w:t>
      </w:r>
    </w:p>
    <w:p>
      <w:pPr>
        <w:pStyle w:val="4"/>
        <w:ind w:firstLine="480"/>
      </w:pPr>
      <w:r>
        <w:t>详见资格性审查、符合性审查和招标文件其他投标无效条款。</w:t>
      </w:r>
    </w:p>
    <w:p>
      <w:pPr>
        <w:pStyle w:val="4"/>
        <w:outlineLvl w:val="3"/>
      </w:pPr>
      <w:r>
        <w:rPr>
          <w:b/>
          <w:sz w:val="24"/>
        </w:rPr>
        <w:t>6.定标</w:t>
      </w:r>
    </w:p>
    <w:p>
      <w:pPr>
        <w:pStyle w:val="4"/>
        <w:ind w:firstLine="480"/>
      </w:pPr>
      <w:r>
        <w:t>评标委员会按照招标文件确定的评标方法、步骤、标准，对投标文件进行评审。评标结束后，对投标人的评审名次进行排序，确定中标供应商或者推荐中标候选人。</w:t>
      </w:r>
    </w:p>
    <w:p>
      <w:pPr>
        <w:pStyle w:val="4"/>
        <w:outlineLvl w:val="3"/>
      </w:pPr>
      <w:r>
        <w:rPr>
          <w:b/>
          <w:sz w:val="24"/>
        </w:rPr>
        <w:t>7.价格修正</w:t>
      </w:r>
    </w:p>
    <w:p>
      <w:pPr>
        <w:pStyle w:val="4"/>
        <w:ind w:firstLine="480"/>
      </w:pPr>
      <w:r>
        <w:t>对报价的计算错误按以下原则修正：</w:t>
      </w:r>
    </w:p>
    <w:p>
      <w:pPr>
        <w:pStyle w:val="4"/>
        <w:ind w:firstLine="480"/>
      </w:pPr>
      <w:r>
        <w:t>（1）投标文件中开标一览表内容与投标文件中相应内容不一致的，以开标一览表为准；</w:t>
      </w:r>
    </w:p>
    <w:p>
      <w:pPr>
        <w:pStyle w:val="4"/>
        <w:ind w:firstLine="480"/>
      </w:pPr>
      <w:r>
        <w:t>（2）大写金额和小写金额不一致的，以大写金额为准；</w:t>
      </w:r>
    </w:p>
    <w:p>
      <w:pPr>
        <w:pStyle w:val="4"/>
        <w:ind w:firstLine="480"/>
      </w:pPr>
      <w:r>
        <w:t>（3）单价金额小数点或者百分比有明显错位的，以开标一览表的总价为准，并修改单价。</w:t>
      </w:r>
    </w:p>
    <w:p>
      <w:pPr>
        <w:pStyle w:val="4"/>
        <w:ind w:firstLine="480"/>
      </w:pPr>
      <w:r>
        <w:t>（4）总价金额与按单价汇总金额不一致的，以单价金额计算结果为准。但是单价金额计算结果超过预算价的，对其按无效投标处理。</w:t>
      </w:r>
    </w:p>
    <w:p>
      <w:pPr>
        <w:pStyle w:val="4"/>
        <w:ind w:firstLine="480"/>
      </w:pPr>
      <w:r>
        <w:t>（5）若投标客户端上传的电子报价数据与电子投标文件价格不一致的，以电子报价数据为准。</w:t>
      </w:r>
    </w:p>
    <w:p>
      <w:pPr>
        <w:pStyle w:val="4"/>
        <w:ind w:firstLine="480"/>
      </w:pPr>
      <w: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4"/>
        <w:outlineLvl w:val="2"/>
      </w:pPr>
      <w:r>
        <w:rPr>
          <w:b/>
          <w:sz w:val="28"/>
        </w:rPr>
        <w:t>二.政府采购政策落实</w:t>
      </w:r>
    </w:p>
    <w:p>
      <w:pPr>
        <w:pStyle w:val="4"/>
        <w:outlineLvl w:val="3"/>
      </w:pPr>
      <w:r>
        <w:rPr>
          <w:b/>
          <w:sz w:val="24"/>
        </w:rPr>
        <w:t>1.节能、环保要求</w:t>
      </w:r>
    </w:p>
    <w:p>
      <w:pPr>
        <w:pStyle w:val="4"/>
        <w:ind w:firstLine="480"/>
      </w:pPr>
      <w: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4"/>
        <w:ind w:firstLine="480"/>
      </w:pPr>
      <w:r>
        <w:t>相关认证机构和获证产品信息以市场监管总局组织建立的节能产品、环境标志产品认证结果信息发布平台公布为准。</w:t>
      </w:r>
    </w:p>
    <w:p>
      <w:pPr>
        <w:pStyle w:val="4"/>
        <w:outlineLvl w:val="3"/>
      </w:pPr>
      <w:r>
        <w:rPr>
          <w:b/>
          <w:sz w:val="24"/>
        </w:rPr>
        <w:t>2.对小型、微型企业、监狱企业或残疾人福利性单位给予价格扣除</w:t>
      </w:r>
    </w:p>
    <w:p>
      <w:pPr>
        <w:pStyle w:val="4"/>
        <w:ind w:firstLine="480"/>
      </w:pPr>
      <w: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4"/>
        <w:outlineLvl w:val="3"/>
      </w:pPr>
      <w:r>
        <w:rPr>
          <w:b/>
          <w:sz w:val="24"/>
        </w:rPr>
        <w:t>3.价格扣除相关要求</w:t>
      </w:r>
    </w:p>
    <w:p>
      <w:pPr>
        <w:pStyle w:val="4"/>
      </w:pPr>
      <w:r>
        <w:t>采购包1（惠州市第二妇幼保健院HIS系统升级改造项目）：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4"/>
            </w:pPr>
            <w:r>
              <w:t>序号</w:t>
            </w:r>
          </w:p>
        </w:tc>
        <w:tc>
          <w:tcPr>
            <w:tcW w:w="2160" w:type="dxa"/>
          </w:tcPr>
          <w:p>
            <w:pPr>
              <w:pStyle w:val="4"/>
            </w:pPr>
            <w:r>
              <w:t>情形</w:t>
            </w:r>
          </w:p>
        </w:tc>
        <w:tc>
          <w:tcPr>
            <w:tcW w:w="2160" w:type="dxa"/>
          </w:tcPr>
          <w:p>
            <w:pPr>
              <w:pStyle w:val="4"/>
            </w:pPr>
            <w:r>
              <w:t>适用对象</w:t>
            </w:r>
          </w:p>
        </w:tc>
        <w:tc>
          <w:tcPr>
            <w:tcW w:w="1246" w:type="dxa"/>
          </w:tcPr>
          <w:p>
            <w:pPr>
              <w:pStyle w:val="4"/>
            </w:pPr>
            <w:r>
              <w:t>价格扣除比例</w:t>
            </w:r>
          </w:p>
        </w:tc>
        <w:tc>
          <w:tcPr>
            <w:tcW w:w="2160" w:type="dxa"/>
          </w:tcPr>
          <w:p>
            <w:pPr>
              <w:pStyle w:val="4"/>
            </w:pPr>
            <w: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4"/>
            </w:pPr>
            <w:r>
              <w:t>1</w:t>
            </w:r>
          </w:p>
        </w:tc>
        <w:tc>
          <w:tcPr>
            <w:tcW w:w="2160" w:type="dxa"/>
          </w:tcPr>
          <w:p>
            <w:pPr>
              <w:pStyle w:val="4"/>
              <w:jc w:val="left"/>
            </w:pPr>
            <w:r>
              <w:t>小型、微型企业，监狱企业，残疾人福利性单位</w:t>
            </w:r>
          </w:p>
        </w:tc>
        <w:tc>
          <w:tcPr>
            <w:tcW w:w="2160" w:type="dxa"/>
          </w:tcPr>
          <w:p>
            <w:pPr>
              <w:pStyle w:val="4"/>
            </w:pPr>
            <w:r>
              <w:t>服务由小微企业承接</w:t>
            </w:r>
          </w:p>
        </w:tc>
        <w:tc>
          <w:tcPr>
            <w:tcW w:w="1246" w:type="dxa"/>
          </w:tcPr>
          <w:p>
            <w:pPr>
              <w:pStyle w:val="4"/>
            </w:pPr>
            <w:r>
              <w:t>10%</w:t>
            </w:r>
          </w:p>
        </w:tc>
        <w:tc>
          <w:tcPr>
            <w:tcW w:w="2160" w:type="dxa"/>
          </w:tcPr>
          <w:p>
            <w:pPr>
              <w:pStyle w:val="4"/>
              <w:jc w:val="left"/>
            </w:pPr>
            <w: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4"/>
            </w:pPr>
            <w:r>
              <w:t>2</w:t>
            </w:r>
          </w:p>
        </w:tc>
        <w:tc>
          <w:tcPr>
            <w:tcW w:w="2160" w:type="dxa"/>
          </w:tcPr>
          <w:p>
            <w:pPr>
              <w:pStyle w:val="4"/>
              <w:jc w:val="left"/>
            </w:pPr>
            <w:r>
              <w:t>节能、环保产品</w:t>
            </w:r>
          </w:p>
        </w:tc>
        <w:tc>
          <w:tcPr>
            <w:tcW w:w="2160" w:type="dxa"/>
          </w:tcPr>
          <w:p>
            <w:pPr>
              <w:pStyle w:val="4"/>
            </w:pPr>
            <w:r>
              <w:t xml:space="preserve"> ——</w:t>
            </w:r>
          </w:p>
        </w:tc>
        <w:tc>
          <w:tcPr>
            <w:tcW w:w="1246" w:type="dxa"/>
          </w:tcPr>
          <w:p>
            <w:pPr>
              <w:pStyle w:val="4"/>
            </w:pPr>
            <w:r>
              <w:t>1%</w:t>
            </w:r>
          </w:p>
        </w:tc>
        <w:tc>
          <w:tcPr>
            <w:tcW w:w="2160" w:type="dxa"/>
          </w:tcPr>
          <w:p>
            <w:pPr>
              <w:pStyle w:val="4"/>
              <w:jc w:val="left"/>
            </w:pPr>
            <w:r>
              <w:t>对获得节能产品认证证书或环境标志产品认证证书的产品给予1%-5%的价格扣除，具体扣除比例根据节能产品或环境标志产品在采购项目中的重要性、所占比重等因素确定。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7" w:type="dxa"/>
            <w:gridSpan w:val="5"/>
          </w:tcPr>
          <w:p>
            <w:pPr>
              <w:pStyle w:val="4"/>
              <w:jc w:val="left"/>
            </w:pPr>
            <w:r>
              <w:t>注：（1）上述评标价仅用于计算价格分，成交金额以实际投标价为准。 （2）组成联合体的大中型企业和其他自然人、法人或者其他组织、与小型、微型企业之间不得存在投资关系。</w:t>
            </w:r>
          </w:p>
        </w:tc>
      </w:tr>
    </w:tbl>
    <w:p>
      <w:pPr>
        <w:pStyle w:val="4"/>
      </w:pPr>
      <w:r>
        <w:br w:type="textWrapping"/>
      </w:r>
      <w:r>
        <w:br w:type="textWrapping"/>
      </w:r>
    </w:p>
    <w:p>
      <w:pPr>
        <w:pStyle w:val="4"/>
        <w:ind w:firstLine="480"/>
      </w:pPr>
      <w:r>
        <w:t>（1）所称小型和微型企业应当符合以下条件：</w:t>
      </w:r>
    </w:p>
    <w:p>
      <w:pPr>
        <w:pStyle w:val="4"/>
        <w:ind w:firstLine="480"/>
      </w:pPr>
      <w:r>
        <w:t>在中华人民共和国境内依法设立，依据国务院批准的中小企业划分标准确定的小型企业和微型企业，但与大企业的负责人为同一人，或者与大企业存在直接控股、管理关系的除外。</w:t>
      </w:r>
    </w:p>
    <w:p>
      <w:pPr>
        <w:pStyle w:val="4"/>
        <w:ind w:firstLine="480"/>
      </w:pPr>
      <w:r>
        <w:t>符合中小企业划分标准的个体工商户，在政府采购活动中视同中小企业。</w:t>
      </w:r>
    </w:p>
    <w:p>
      <w:pPr>
        <w:pStyle w:val="4"/>
        <w:ind w:firstLine="480"/>
      </w:pPr>
      <w:r>
        <w:t>提供本企业（属于小微企业）制造的货物或者提供其他小型或微型企业制造的货物/提供本企业（属于小微企业）承接的服务。</w:t>
      </w:r>
    </w:p>
    <w:p>
      <w:pPr>
        <w:pStyle w:val="4"/>
        <w:ind w:firstLine="480"/>
      </w:pPr>
      <w: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4"/>
        <w:ind w:firstLine="480"/>
      </w:pPr>
      <w:r>
        <w:t>说明：投标人应当对其出具的《中小企业声明函》真实性负责，投标人出具的《中小企业声明函》内容不实的，属于提供虚假材料谋取中标。</w:t>
      </w:r>
    </w:p>
    <w:p>
      <w:pPr>
        <w:pStyle w:val="4"/>
        <w:ind w:firstLine="480"/>
      </w:pPr>
      <w: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4"/>
        <w:outlineLvl w:val="2"/>
      </w:pPr>
      <w:r>
        <w:rPr>
          <w:b/>
          <w:sz w:val="28"/>
        </w:rPr>
        <w:t>三、评审程序</w:t>
      </w:r>
    </w:p>
    <w:p>
      <w:pPr>
        <w:pStyle w:val="4"/>
        <w:outlineLvl w:val="3"/>
      </w:pPr>
      <w:r>
        <w:rPr>
          <w:b/>
          <w:sz w:val="24"/>
        </w:rPr>
        <w:t>1.资格性审查和符合性审查</w:t>
      </w:r>
    </w:p>
    <w:p>
      <w:pPr>
        <w:pStyle w:val="4"/>
        <w:ind w:firstLine="480"/>
      </w:pPr>
      <w:r>
        <w:t>资格性审查。公开招标采购项目开标结束后，采购人或采购代理机构应当依法对投标人的资格进行审查，以确定投标人是否具备投标资格。（详见后附表一资格性审查表）</w:t>
      </w:r>
    </w:p>
    <w:p>
      <w:pPr>
        <w:pStyle w:val="4"/>
        <w:ind w:firstLine="480"/>
      </w:pPr>
      <w:r>
        <w:t>符合性审查。评标委员会依据招标文件的规定，从投标文件的有效性、完整性和对招标文件的响应程度进行审查，以确定是否对招标文件的实质性要求作出响应。（详见后附表二符合性审查表）</w:t>
      </w:r>
    </w:p>
    <w:p>
      <w:pPr>
        <w:pStyle w:val="4"/>
        <w:ind w:firstLine="480"/>
      </w:pPr>
      <w:r>
        <w:t>资格性审查和符合性审查中凡有其中任意一项未通过的，评审结果为未通过，未通过资格性审查、符合性审查的投标人按无效投标处理。</w:t>
      </w:r>
    </w:p>
    <w:p>
      <w:pPr>
        <w:pStyle w:val="4"/>
        <w:ind w:firstLine="480"/>
      </w:pPr>
      <w:r>
        <w:t>对各投标人进行资格审查和符合性审查过程中，对初步被认定为无效投标者，由评标委员会组长或采购人代表将集体意见及时告知投标当事人。</w:t>
      </w:r>
    </w:p>
    <w:p>
      <w:pPr>
        <w:pStyle w:val="4"/>
        <w:ind w:firstLine="480"/>
      </w:pPr>
      <w: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4"/>
        <w:ind w:firstLine="480"/>
      </w:pPr>
      <w:r>
        <w:t>合格投标人不足3家的，不得评标。</w:t>
      </w:r>
    </w:p>
    <w:p>
      <w:pPr>
        <w:pStyle w:val="4"/>
        <w:ind w:firstLine="480"/>
      </w:pPr>
      <w:r>
        <w:t>表一资格性审查表：</w:t>
      </w:r>
    </w:p>
    <w:p>
      <w:pPr>
        <w:pStyle w:val="4"/>
      </w:pPr>
      <w:r>
        <w:t>采购包1（惠州市第二妇幼保健院HIS系统升级改造项目）：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 xml:space="preserve"> 序号</w:t>
            </w:r>
          </w:p>
        </w:tc>
        <w:tc>
          <w:tcPr>
            <w:tcW w:w="7416" w:type="dxa"/>
            <w:gridSpan w:val="2"/>
          </w:tcPr>
          <w:p>
            <w:pPr>
              <w:pStyle w:val="4"/>
            </w:pPr>
            <w:r>
              <w:t xml:space="preserve"> 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w:t>
            </w:r>
          </w:p>
        </w:tc>
        <w:tc>
          <w:tcPr>
            <w:tcW w:w="3178" w:type="dxa"/>
          </w:tcPr>
          <w:p>
            <w:pPr>
              <w:pStyle w:val="4"/>
            </w:pPr>
            <w:r>
              <w:t>具有独立承担民事责任的能力</w:t>
            </w:r>
          </w:p>
        </w:tc>
        <w:tc>
          <w:tcPr>
            <w:tcW w:w="4238" w:type="dxa"/>
          </w:tcPr>
          <w:p>
            <w:pPr>
              <w:pStyle w:val="4"/>
            </w:pPr>
            <w:r>
              <w:t>在中华人民共和国境内注册的法人或其他组织或自然人，投标时提交有效的营业执照(或事业法人登记证或身份证等相关证明)副本复印件；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2</w:t>
            </w:r>
          </w:p>
        </w:tc>
        <w:tc>
          <w:tcPr>
            <w:tcW w:w="3178" w:type="dxa"/>
          </w:tcPr>
          <w:p>
            <w:pPr>
              <w:pStyle w:val="4"/>
            </w:pPr>
            <w:r>
              <w:t>有依法缴纳税收和社会保障资金的良好记录</w:t>
            </w:r>
          </w:p>
        </w:tc>
        <w:tc>
          <w:tcPr>
            <w:tcW w:w="4238" w:type="dxa"/>
          </w:tcPr>
          <w:p>
            <w:pPr>
              <w:pStyle w:val="4"/>
            </w:pPr>
            <w:r>
              <w:t>提供投标截止日前6个月内任意1个月依法缴纳税收和社会保障资金的相关材料。如依法免税或不需要缴纳社会保障资金的，提供相应证明材料；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3</w:t>
            </w:r>
          </w:p>
        </w:tc>
        <w:tc>
          <w:tcPr>
            <w:tcW w:w="3178" w:type="dxa"/>
          </w:tcPr>
          <w:p>
            <w:pPr>
              <w:pStyle w:val="4"/>
            </w:pPr>
            <w:r>
              <w:t>具有良好的商业信誉和健全的财务会计制度</w:t>
            </w:r>
          </w:p>
        </w:tc>
        <w:tc>
          <w:tcPr>
            <w:tcW w:w="4238" w:type="dxa"/>
          </w:tcPr>
          <w:p>
            <w:pPr>
              <w:pStyle w:val="4"/>
            </w:pPr>
            <w:r>
              <w:t>供应商必须具有良好的商业信誉和健全的财务会计制度(提供2023年度财务状况报告或2024年度财务状况报告或基本开户行出具的资信证明)；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4</w:t>
            </w:r>
          </w:p>
        </w:tc>
        <w:tc>
          <w:tcPr>
            <w:tcW w:w="3178" w:type="dxa"/>
          </w:tcPr>
          <w:p>
            <w:pPr>
              <w:pStyle w:val="4"/>
            </w:pPr>
            <w:r>
              <w:t>履行合同所必需的设备和专业技术能力</w:t>
            </w:r>
          </w:p>
        </w:tc>
        <w:tc>
          <w:tcPr>
            <w:tcW w:w="4238" w:type="dxa"/>
          </w:tcPr>
          <w:p>
            <w:pPr>
              <w:pStyle w:val="4"/>
            </w:pPr>
            <w:r>
              <w:t>按投标(响应)文件格式填报设备及专业技术能力情况；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5</w:t>
            </w:r>
          </w:p>
        </w:tc>
        <w:tc>
          <w:tcPr>
            <w:tcW w:w="3178" w:type="dxa"/>
          </w:tcPr>
          <w:p>
            <w:pPr>
              <w:pStyle w:val="4"/>
            </w:pPr>
            <w:r>
              <w:t>参加采购活动前3年内，在经营活动中没有重大违法记录</w:t>
            </w:r>
          </w:p>
        </w:tc>
        <w:tc>
          <w:tcPr>
            <w:tcW w:w="4238" w:type="dxa"/>
          </w:tcPr>
          <w:p>
            <w:pPr>
              <w:pStyle w:val="4"/>
            </w:pPr>
            <w:r>
              <w:t>参照投标(报价)函相关承诺格式内容。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6</w:t>
            </w:r>
          </w:p>
        </w:tc>
        <w:tc>
          <w:tcPr>
            <w:tcW w:w="3178" w:type="dxa"/>
          </w:tcPr>
          <w:p>
            <w:pPr>
              <w:pStyle w:val="4"/>
            </w:pPr>
            <w:r>
              <w:t>信用记录</w:t>
            </w:r>
          </w:p>
        </w:tc>
        <w:tc>
          <w:tcPr>
            <w:tcW w:w="4238" w:type="dxa"/>
          </w:tcPr>
          <w:p>
            <w:pPr>
              <w:pStyle w:val="4"/>
            </w:pPr>
            <w: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7</w:t>
            </w:r>
          </w:p>
        </w:tc>
        <w:tc>
          <w:tcPr>
            <w:tcW w:w="3178" w:type="dxa"/>
          </w:tcPr>
          <w:p>
            <w:pPr>
              <w:pStyle w:val="4"/>
            </w:pPr>
            <w:r>
              <w:t>供应商必须符合法律、行政法规规定的其他条件</w:t>
            </w:r>
          </w:p>
        </w:tc>
        <w:tc>
          <w:tcPr>
            <w:tcW w:w="4238" w:type="dxa"/>
          </w:tcPr>
          <w:p>
            <w:pPr>
              <w:pStyle w:val="4"/>
            </w:pPr>
            <w:r>
              <w:t>单位负责人为同一人或者存在直接控股、管理关系的不同供应商，不得同时参加本采购项目(包组)投标。为本项目提供整体设计、规范编制或者项目管理、监理、检测等服务的供应商，不得再参与本项目投标。(供应商出具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8</w:t>
            </w:r>
          </w:p>
        </w:tc>
        <w:tc>
          <w:tcPr>
            <w:tcW w:w="3178" w:type="dxa"/>
          </w:tcPr>
          <w:p>
            <w:pPr>
              <w:pStyle w:val="4"/>
            </w:pPr>
            <w:r>
              <w:t>落实政府采购政策需满足的资格要求</w:t>
            </w:r>
          </w:p>
        </w:tc>
        <w:tc>
          <w:tcPr>
            <w:tcW w:w="4238" w:type="dxa"/>
          </w:tcPr>
          <w:p>
            <w:pPr>
              <w:pStyle w:val="4"/>
            </w:pPr>
            <w:r>
              <w:t>本项目不属于专门面向中小企业采购的项目。需落实《政府采购促进中小企业发展管理办法》（财库〔2020〕46号）、《关于政府采购支持监狱企业发展有关问题的通知》(财库〔2014〕68号)、《关于促进残疾人就业政府采购政策的通知》（财库〔2017〕141号)、《关于调整优化节能产品、环境标志产品政府采购执行机制的通知》（财库〔2019〕9号）、《关于运用政府采购政策支持脱贫攻坚的通知》（财库〔2019〕27号）、《惠州市财政局关于加大政府采购支持中小企业发展的通知》（惠财采购函〔2022〕19号）等政府采购政策。</w:t>
            </w:r>
          </w:p>
        </w:tc>
      </w:tr>
    </w:tbl>
    <w:p>
      <w:pPr>
        <w:pStyle w:val="4"/>
        <w:ind w:firstLine="480"/>
      </w:pPr>
      <w:r>
        <w:t>表二符合性审查表：</w:t>
      </w:r>
    </w:p>
    <w:p>
      <w:pPr>
        <w:pStyle w:val="4"/>
      </w:pPr>
      <w:r>
        <w:t>采购包1（惠州市第二妇幼保健院HIS系统升级改造项目）：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 xml:space="preserve"> 序号</w:t>
            </w:r>
          </w:p>
        </w:tc>
        <w:tc>
          <w:tcPr>
            <w:tcW w:w="3178" w:type="dxa"/>
          </w:tcPr>
          <w:p>
            <w:pPr>
              <w:pStyle w:val="4"/>
            </w:pPr>
            <w:r>
              <w:t xml:space="preserve"> 评审点要求概况</w:t>
            </w:r>
          </w:p>
        </w:tc>
        <w:tc>
          <w:tcPr>
            <w:tcW w:w="4238" w:type="dxa"/>
          </w:tcPr>
          <w:p>
            <w:pPr>
              <w:pStyle w:val="4"/>
            </w:pPr>
            <w: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w:t>
            </w:r>
          </w:p>
        </w:tc>
        <w:tc>
          <w:tcPr>
            <w:tcW w:w="3178" w:type="dxa"/>
          </w:tcPr>
          <w:p>
            <w:pPr>
              <w:pStyle w:val="4"/>
            </w:pPr>
            <w:r>
              <w:t>1、投标人没有违反采购文件关于联合体投标的相关约定（相关约定请查看采购文件“第二章 采购需求”“一、采购项目的基本信息”中的“关于联合体投标”）</w:t>
            </w:r>
          </w:p>
        </w:tc>
        <w:tc>
          <w:tcPr>
            <w:tcW w:w="4238" w:type="dxa"/>
          </w:tcPr>
          <w:p>
            <w:pPr>
              <w:pStyle w:val="4"/>
            </w:pPr>
            <w:r>
              <w:t>1、投标人没有违反采购文件关于联合体投标的相关约定（相关约定请查看采购文件“第二章 采购需求”“一、采购项目的基本信息”中的“关于联合体投标”）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2</w:t>
            </w:r>
          </w:p>
        </w:tc>
        <w:tc>
          <w:tcPr>
            <w:tcW w:w="3178" w:type="dxa"/>
          </w:tcPr>
          <w:p>
            <w:pPr>
              <w:pStyle w:val="4"/>
            </w:pPr>
            <w:r>
              <w:t>2、如果要求缴纳投标保证金的，投标人按照采购文件要求缴纳并提供缴纳凭证，否则无需提供</w:t>
            </w:r>
          </w:p>
        </w:tc>
        <w:tc>
          <w:tcPr>
            <w:tcW w:w="4238" w:type="dxa"/>
          </w:tcPr>
          <w:p>
            <w:pPr>
              <w:pStyle w:val="4"/>
            </w:pPr>
            <w:r>
              <w:t>2、如果要求缴纳投标保证金的，投标人按照采购文件要求缴纳并提供缴纳凭证，否则无需提供</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3</w:t>
            </w:r>
          </w:p>
        </w:tc>
        <w:tc>
          <w:tcPr>
            <w:tcW w:w="3178" w:type="dxa"/>
          </w:tcPr>
          <w:p>
            <w:pPr>
              <w:pStyle w:val="4"/>
            </w:pPr>
            <w:r>
              <w:t>3、投标人按照采购文件要求提供了《投标函》</w:t>
            </w:r>
          </w:p>
        </w:tc>
        <w:tc>
          <w:tcPr>
            <w:tcW w:w="4238" w:type="dxa"/>
          </w:tcPr>
          <w:p>
            <w:pPr>
              <w:pStyle w:val="4"/>
            </w:pPr>
            <w:r>
              <w:t>3、投标人按照采购文件要求提供了《投标函》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4</w:t>
            </w:r>
          </w:p>
        </w:tc>
        <w:tc>
          <w:tcPr>
            <w:tcW w:w="3178" w:type="dxa"/>
          </w:tcPr>
          <w:p>
            <w:pPr>
              <w:pStyle w:val="4"/>
            </w:pPr>
            <w:r>
              <w:t>4、投标文件没有无效签署的</w:t>
            </w:r>
          </w:p>
        </w:tc>
        <w:tc>
          <w:tcPr>
            <w:tcW w:w="4238" w:type="dxa"/>
          </w:tcPr>
          <w:p>
            <w:pPr>
              <w:pStyle w:val="4"/>
            </w:pPr>
            <w:r>
              <w:t>4、投标文件没有无效签署的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5</w:t>
            </w:r>
          </w:p>
        </w:tc>
        <w:tc>
          <w:tcPr>
            <w:tcW w:w="3178" w:type="dxa"/>
          </w:tcPr>
          <w:p>
            <w:pPr>
              <w:pStyle w:val="4"/>
            </w:pPr>
            <w:r>
              <w:t>5、按照采购文件的报价方式、 报价要求进行了报价且报价方案是唯一确定</w:t>
            </w:r>
          </w:p>
        </w:tc>
        <w:tc>
          <w:tcPr>
            <w:tcW w:w="4238" w:type="dxa"/>
          </w:tcPr>
          <w:p>
            <w:pPr>
              <w:pStyle w:val="4"/>
            </w:pPr>
            <w:r>
              <w:t>5、按照采购文件的报价方式、 报价要求进行了报价且报价方案是唯一确定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6</w:t>
            </w:r>
          </w:p>
        </w:tc>
        <w:tc>
          <w:tcPr>
            <w:tcW w:w="3178" w:type="dxa"/>
          </w:tcPr>
          <w:p>
            <w:pPr>
              <w:pStyle w:val="4"/>
            </w:pPr>
            <w:r>
              <w:t>6、投标报价未超出采购预算的，如设定最高限价的，且未超出最高限价</w:t>
            </w:r>
          </w:p>
        </w:tc>
        <w:tc>
          <w:tcPr>
            <w:tcW w:w="4238" w:type="dxa"/>
          </w:tcPr>
          <w:p>
            <w:pPr>
              <w:pStyle w:val="4"/>
            </w:pPr>
            <w:r>
              <w:t>6、投标报价未超出采购预算的，如设定最高限价的，且未超出最高限价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7</w:t>
            </w:r>
          </w:p>
        </w:tc>
        <w:tc>
          <w:tcPr>
            <w:tcW w:w="3178" w:type="dxa"/>
          </w:tcPr>
          <w:p>
            <w:pPr>
              <w:pStyle w:val="4"/>
            </w:pPr>
            <w:r>
              <w:t>7、投标有效期符合采购文件要求的</w:t>
            </w:r>
          </w:p>
        </w:tc>
        <w:tc>
          <w:tcPr>
            <w:tcW w:w="4238" w:type="dxa"/>
          </w:tcPr>
          <w:p>
            <w:pPr>
              <w:pStyle w:val="4"/>
            </w:pPr>
            <w:r>
              <w:t>7、投标有效期符合采购文件要求的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8</w:t>
            </w:r>
          </w:p>
        </w:tc>
        <w:tc>
          <w:tcPr>
            <w:tcW w:w="3178" w:type="dxa"/>
          </w:tcPr>
          <w:p>
            <w:pPr>
              <w:pStyle w:val="4"/>
            </w:pPr>
            <w:r>
              <w:t>8、若采购文件中有★号条款和指标的，投标文件须完全响应；若采购文件中没有★号条款和指标的，则无需响应</w:t>
            </w:r>
          </w:p>
        </w:tc>
        <w:tc>
          <w:tcPr>
            <w:tcW w:w="4238" w:type="dxa"/>
          </w:tcPr>
          <w:p>
            <w:pPr>
              <w:pStyle w:val="4"/>
            </w:pPr>
            <w:r>
              <w:t>8、若采购文件中有★号条款和指标的，投标文件须完全响应；若采购文件中没有★号条款和指标的，则无需响应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9</w:t>
            </w:r>
          </w:p>
        </w:tc>
        <w:tc>
          <w:tcPr>
            <w:tcW w:w="3178" w:type="dxa"/>
          </w:tcPr>
          <w:p>
            <w:pPr>
              <w:pStyle w:val="4"/>
            </w:pPr>
            <w:r>
              <w:t>9、评标委员会认为投标人没有串通投标情形</w:t>
            </w:r>
          </w:p>
        </w:tc>
        <w:tc>
          <w:tcPr>
            <w:tcW w:w="4238" w:type="dxa"/>
          </w:tcPr>
          <w:p>
            <w:pPr>
              <w:pStyle w:val="4"/>
            </w:pPr>
            <w:r>
              <w:t>9、评标委员会认为投标人没有串通投标情形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10</w:t>
            </w:r>
          </w:p>
        </w:tc>
        <w:tc>
          <w:tcPr>
            <w:tcW w:w="3178" w:type="dxa"/>
          </w:tcPr>
          <w:p>
            <w:pPr>
              <w:pStyle w:val="4"/>
            </w:pPr>
            <w:r>
              <w:t>10、投标文件未附带有采购人依法不能接受的条件</w:t>
            </w:r>
          </w:p>
        </w:tc>
        <w:tc>
          <w:tcPr>
            <w:tcW w:w="4238" w:type="dxa"/>
          </w:tcPr>
          <w:p>
            <w:pPr>
              <w:pStyle w:val="4"/>
            </w:pPr>
            <w:r>
              <w:t>10、投标文件未附带有采购人依法不能接受的条件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11</w:t>
            </w:r>
          </w:p>
        </w:tc>
        <w:tc>
          <w:tcPr>
            <w:tcW w:w="3178" w:type="dxa"/>
          </w:tcPr>
          <w:p>
            <w:pPr>
              <w:pStyle w:val="4"/>
            </w:pPr>
            <w:r>
              <w:t>11、无法律、法规、规章规定无效投标、未实质性响应的其他情形</w:t>
            </w:r>
          </w:p>
        </w:tc>
        <w:tc>
          <w:tcPr>
            <w:tcW w:w="4238" w:type="dxa"/>
          </w:tcPr>
          <w:p>
            <w:pPr>
              <w:pStyle w:val="4"/>
            </w:pPr>
            <w:r>
              <w:t>11、无法律、法规、规章规定无效投标、未实质性响应的其他情形</w:t>
            </w:r>
          </w:p>
        </w:tc>
      </w:tr>
    </w:tbl>
    <w:p>
      <w:pPr>
        <w:pStyle w:val="4"/>
        <w:outlineLvl w:val="3"/>
      </w:pPr>
      <w:r>
        <w:rPr>
          <w:b/>
          <w:sz w:val="24"/>
        </w:rPr>
        <w:t>2.投标文件澄清</w:t>
      </w:r>
    </w:p>
    <w:p>
      <w:pPr>
        <w:pStyle w:val="4"/>
        <w:ind w:firstLine="480"/>
      </w:pPr>
      <w: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4"/>
        <w:ind w:firstLine="480"/>
      </w:pPr>
      <w:r>
        <w:t>投标人需登录广东政府采购智慧云平台项目采购系统的等候大厅，在规定时间内完成澄清（响应），并加盖电子印章。</w:t>
      </w:r>
    </w:p>
    <w:p>
      <w:pPr>
        <w:pStyle w:val="4"/>
        <w:ind w:firstLine="480"/>
      </w:pPr>
      <w: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4"/>
        <w:ind w:firstLine="480"/>
      </w:pPr>
      <w:r>
        <w:t>2.2评标委员会不接受投标人主动提出的澄清、说明或补正。</w:t>
      </w:r>
    </w:p>
    <w:p>
      <w:pPr>
        <w:pStyle w:val="4"/>
        <w:ind w:firstLine="480"/>
      </w:pPr>
      <w:r>
        <w:t>2.3评标委员会对投标人提交的澄清、说明或补正有疑问的，可以要求投标人进一步澄清、说明或补正。</w:t>
      </w:r>
    </w:p>
    <w:p>
      <w:pPr>
        <w:pStyle w:val="4"/>
        <w:outlineLvl w:val="3"/>
      </w:pPr>
      <w:r>
        <w:rPr>
          <w:b/>
          <w:sz w:val="24"/>
        </w:rPr>
        <w:t>3.详细评审</w:t>
      </w:r>
    </w:p>
    <w:p>
      <w:pPr>
        <w:pStyle w:val="4"/>
      </w:pPr>
      <w:r>
        <w:t>惠州市第二妇幼保健院HIS系统升级改造项目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评审因素</w:t>
            </w:r>
          </w:p>
        </w:tc>
        <w:tc>
          <w:tcPr>
            <w:tcW w:w="7383" w:type="dxa"/>
            <w:gridSpan w:val="2"/>
          </w:tcPr>
          <w:p>
            <w:pPr>
              <w:pStyle w:val="4"/>
              <w:jc w:val="center"/>
            </w:pPr>
            <w: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分值构成</w:t>
            </w:r>
          </w:p>
        </w:tc>
        <w:tc>
          <w:tcPr>
            <w:tcW w:w="7383" w:type="dxa"/>
            <w:gridSpan w:val="2"/>
          </w:tcPr>
          <w:p>
            <w:pPr>
              <w:pStyle w:val="4"/>
            </w:pPr>
            <w:r>
              <w:t>商务部分21.0分</w:t>
            </w:r>
          </w:p>
          <w:p>
            <w:pPr>
              <w:pStyle w:val="4"/>
            </w:pPr>
            <w:r>
              <w:t>技术部分69.0分</w:t>
            </w:r>
          </w:p>
          <w:p>
            <w:pPr>
              <w:pStyle w:val="4"/>
            </w:pPr>
            <w:r>
              <w:t>报价得分10.0分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4"/>
              <w:jc w:val="center"/>
            </w:pPr>
            <w:r>
              <w:t>技术部分</w:t>
            </w:r>
          </w:p>
        </w:tc>
        <w:tc>
          <w:tcPr>
            <w:tcW w:w="2307" w:type="dxa"/>
          </w:tcPr>
          <w:p>
            <w:pPr>
              <w:pStyle w:val="4"/>
              <w:jc w:val="left"/>
            </w:pPr>
            <w:r>
              <w:t>已标▲符号的主要技术参数响应情况 (47.5分)</w:t>
            </w:r>
          </w:p>
        </w:tc>
        <w:tc>
          <w:tcPr>
            <w:tcW w:w="5076" w:type="dxa"/>
          </w:tcPr>
          <w:p>
            <w:pPr>
              <w:pStyle w:val="4"/>
              <w:jc w:val="left"/>
            </w:pPr>
            <w:r>
              <w:t>评标委员会根据投标人对“ 1.2.2.软件技术参数要求及1.2.3.硬件技术参数要求（IT基础设施设备）”中标识“▲”技术条款（共38条）的响应情况进行评审：投标人完全满足或优于本项目标注“▲”条款的，得满分47.5分。若不满足或负偏离一项扣1.25分。（备注：技术参数中标“▲”条款项要求对应提供证明资料的，需提供有效的佐证材料放入投标文件中，否则视为该项不满足或负偏离，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技术参数中未标识“▲”条款响应情况 (9.5分)</w:t>
            </w:r>
          </w:p>
        </w:tc>
        <w:tc>
          <w:tcPr>
            <w:tcW w:w="5076" w:type="dxa"/>
          </w:tcPr>
          <w:p>
            <w:pPr>
              <w:pStyle w:val="4"/>
              <w:jc w:val="left"/>
            </w:pPr>
            <w:r>
              <w:t>评标委员会根据投标人对“ 1.2.2软件技术参数要求及1.2.3.硬件技术参数要求（IT基础设施设备）”中未标识“▲”“★”的技术条款967项(753项+214项)响应情况进行评审:完全满足或优于967项指标要求得9.5分;满足957-966项指标要求得6.5分:满足 947-956项指标要求得 3.5分:满足 1-946 项指标要求得 1分:全部不满足或无响应得0分。(备注:1.非“▲”参数要求中有明确要求提供证明材料的，须按要求提供相应材料方可得分。2.无明确要求提供证明材料的，以响应交件中《技术和服务要求响应表》所填写的"是否偏离"为准，未填写或未响应的视为负偏离，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实施方案 (6.0分)</w:t>
            </w:r>
          </w:p>
        </w:tc>
        <w:tc>
          <w:tcPr>
            <w:tcW w:w="5076" w:type="dxa"/>
          </w:tcPr>
          <w:p>
            <w:pPr>
              <w:pStyle w:val="4"/>
              <w:jc w:val="left"/>
            </w:pPr>
            <w:r>
              <w:t>根据投标人提供的实施方案(内容包含但不限于对项目的理解、进度安排，人力资源安排、难点问题解决办法等)进行评分： （1）实施方案涵盖上述内容，方案内容详尽、完整；对项目的理解程度高或论述合理，进度安排计划编制合理、人员及设备的配置合理、难点问题解决办法思路清晰、内容全面，完全满足且优于采购需求，得6分； （2）实施方案涵盖上述内容，方案内容较详尽、较完整；对项目的理解程度较高或论述较合理，进度安排计划编制较合理、人员及设备的配置较合理、难点问题解决办法思路较清晰、内容较全面，满足采购需求，得3分； （3）实施方案涵盖上述内容，方案内容基本完整；对项目的理解程度基本合理，进度安排计划编制合理性一般、人员及设备的配置基本合理、难点问题解决办法思路基本清晰、内容不够全面，基本满足采购需求，得1分； （4）未提供实施方案得0分。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售后服务方案 (6.0分)</w:t>
            </w:r>
          </w:p>
        </w:tc>
        <w:tc>
          <w:tcPr>
            <w:tcW w:w="5076" w:type="dxa"/>
          </w:tcPr>
          <w:p>
            <w:pPr>
              <w:pStyle w:val="4"/>
              <w:jc w:val="left"/>
            </w:pPr>
            <w:r>
              <w:t>根据投标人提供的售后服务方案(内容包含但不限于服务能力、应急响应预案、服务保障措施、技术培训方案等)进行评分： （1）售后服务方案涵盖上述内容，服务能力、应急响应预案、服务保障措施、技术培训方案内容描述合理，可行性强，完全满足且优于采购需求，得6分； （2）售后服务方案涵盖上述内容，服务能力、应急响应预案、服务保障措施、技术培训方案内容描述较合理，可行性较强，满足采购需求，得3分； （3）售后服务方案涵盖上述内容，服务能力、应急响应预案、服务保障措施、技术培训方案内容描述基本合理，基本可行，基本满足采购需求，得1分； （4）未提供售后服务方案得0分。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4"/>
              <w:jc w:val="center"/>
            </w:pPr>
            <w:r>
              <w:t>商务部分</w:t>
            </w:r>
          </w:p>
        </w:tc>
        <w:tc>
          <w:tcPr>
            <w:tcW w:w="2307" w:type="dxa"/>
          </w:tcPr>
          <w:p>
            <w:pPr>
              <w:pStyle w:val="4"/>
              <w:jc w:val="left"/>
            </w:pPr>
            <w:r>
              <w:t>体系认证 (2.0分)</w:t>
            </w:r>
          </w:p>
        </w:tc>
        <w:tc>
          <w:tcPr>
            <w:tcW w:w="5076" w:type="dxa"/>
          </w:tcPr>
          <w:p>
            <w:pPr>
              <w:pStyle w:val="4"/>
              <w:jc w:val="left"/>
            </w:pPr>
            <w:r>
              <w:t>根据投标人在投标文件中提供有效期内的认证证书进行评分：具有有效期内的质量管理体系认证证书,认证范围需包含“系统集成和软件开发”类。 提供有效证书得2分，不提供不得分。注：须同时提供以上证书扫描件及国家认证认可监督管理委员的“全国认证认可信息公共服务平台”（http://cx.cnca.cn）查询结果截图，失效、撤销或暂停的对应证书项不得分。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同类业绩情况 (3.0分)</w:t>
            </w:r>
          </w:p>
        </w:tc>
        <w:tc>
          <w:tcPr>
            <w:tcW w:w="5076" w:type="dxa"/>
          </w:tcPr>
          <w:p>
            <w:pPr>
              <w:pStyle w:val="4"/>
              <w:jc w:val="left"/>
            </w:pPr>
            <w:r>
              <w:t>评标委员会根据投标人提供2022年1月1日(以合同签订时间为准)至今同类业绩（软件开发或系统集成类）进行评分，每提供1项同类项目业绩得0.5分，满分3分，投标人须提供业绩合同的关键页（合同关键页包括：合同封面、服务内容页及双方签章页并加盖投标人公章），无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本项目的项目经理、技术负责人、系统架构负责人要求 (8.0分)</w:t>
            </w:r>
          </w:p>
        </w:tc>
        <w:tc>
          <w:tcPr>
            <w:tcW w:w="5076" w:type="dxa"/>
          </w:tcPr>
          <w:p>
            <w:pPr>
              <w:pStyle w:val="4"/>
              <w:jc w:val="left"/>
            </w:pPr>
            <w:r>
              <w:t>一、投标人为本项目安排1名项目经理，要求该名项目经理具有： （1）工业和信息部门(原信息产业部)或人力资源和社会保障部门颁发的信息系统项目管理师证书； （2）工业和信息部门(原信息产业部)或人力资源和社会保障部门颁发的系统规划与管理师证书。 二、投标人为本项目安排1名技术负责人，要求该名技术负责人具有： （1）工业和信息部门(原信息产业部)或人力资源和社会保障部门颁发的信息系统项目管理师证书； （2）工业和信息部门(原信息产业部)或人力资源和社会保障部门颁发的软件设计师证书； （3）工业和信息部门(原信息产业部)或人力资源和社会保障部门颁发的信息安全工程师证书。 三、投标人为本项目安排1名系统架构负责人，要求该名系统架构负责人具有： （1）工业和信息部门(原信息产业部)或人力资源和社会保障部门颁发的系统架构设计师证书； （2）工业和信息部门(原信息产业部)或人力资源和社会保障部门颁发的系统分析师证书； （3）工业和信息部门(原信息产业部)或人力资源和社会保障部门颁发的数据库系统工程师证书。 项目经理、技术负责人、系统架构负责人不可为同一人，人员不重复计分。每满足1项得1分，满分8分。（备注：提供以上证书扫描件及投标人为本项目拟派出项目经理、技术负责人、系统架构负责人购买的开标当月之前半年内任意1个月的本单位社保记录，无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本项目技术服务团队人员情况（项目经理、技术负责人、系统架构负责人除外） (5.0分)</w:t>
            </w:r>
          </w:p>
        </w:tc>
        <w:tc>
          <w:tcPr>
            <w:tcW w:w="5076" w:type="dxa"/>
          </w:tcPr>
          <w:p>
            <w:pPr>
              <w:pStyle w:val="4"/>
              <w:jc w:val="left"/>
            </w:pPr>
            <w:r>
              <w:t>根据本项目采购需求内容，要求投标人为本项目拟投入项目实施人员不少于10人（如系统架构师，软件开发工程师，软件测试工程师等，但不含项目经理、技术负责人、系统架构负责人，人员不重复计分），要求具有工业和信息部门(原信息产业部)或人力资源和社会保障部门颁发的计算机技术与软件专业中级或以上技术资格证书。每提供1人1证书得0.5分，最高得5分，无提供不得分。（备注：同一人具有多个证书不重复得分；提供相关证书复印件及投标人为拟派出服务团队人员购买开标当月之前半年内任意一个月的本单位社保记录，无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质保期承诺 (3.0分)</w:t>
            </w:r>
          </w:p>
        </w:tc>
        <w:tc>
          <w:tcPr>
            <w:tcW w:w="5076" w:type="dxa"/>
          </w:tcPr>
          <w:p>
            <w:pPr>
              <w:pStyle w:val="4"/>
              <w:jc w:val="left"/>
            </w:pPr>
            <w:r>
              <w:t>本项目要求免费质保期：软件不少于2年、硬件不少于3年，在此基础上，投标人承诺软件及硬件各增加一年免费质保期，得1.5分；投标人承诺软件及硬件各增加两年免费质保期，得3分。 需提供服务承诺书（格式自拟），不提供此项不得分。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投标报价</w:t>
            </w:r>
          </w:p>
        </w:tc>
        <w:tc>
          <w:tcPr>
            <w:tcW w:w="2307" w:type="dxa"/>
          </w:tcPr>
          <w:p>
            <w:pPr>
              <w:pStyle w:val="4"/>
              <w:jc w:val="left"/>
            </w:pPr>
            <w:r>
              <w:t>投标报价得分 (10.0分)</w:t>
            </w:r>
          </w:p>
        </w:tc>
        <w:tc>
          <w:tcPr>
            <w:tcW w:w="5076" w:type="dxa"/>
          </w:tcPr>
          <w:p>
            <w:pPr>
              <w:pStyle w:val="4"/>
              <w:jc w:val="left"/>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4"/>
        <w:outlineLvl w:val="3"/>
      </w:pPr>
      <w:r>
        <w:rPr>
          <w:b/>
          <w:sz w:val="24"/>
        </w:rPr>
        <w:t>4.汇总、排序</w:t>
      </w:r>
    </w:p>
    <w:p>
      <w:pPr>
        <w:pStyle w:val="4"/>
      </w:pPr>
      <w:r>
        <w:t>采购包1：</w:t>
      </w:r>
    </w:p>
    <w:p>
      <w:pPr>
        <w:pStyle w:val="4"/>
      </w:pPr>
      <w: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4"/>
        <w:outlineLvl w:val="3"/>
      </w:pPr>
      <w:r>
        <w:rPr>
          <w:b/>
          <w:sz w:val="24"/>
        </w:rPr>
        <w:t>5.中标价的确定</w:t>
      </w:r>
    </w:p>
    <w:p>
      <w:pPr>
        <w:pStyle w:val="4"/>
        <w:ind w:firstLine="480"/>
      </w:pPr>
      <w:r>
        <w:t>除了按第四章第一点第7条修正并经投标人确认的投标报价作为中标价外，中标价以开标时公开唱标价为准。</w:t>
      </w:r>
    </w:p>
    <w:p>
      <w:pPr>
        <w:pStyle w:val="4"/>
        <w:outlineLvl w:val="3"/>
      </w:pPr>
      <w:r>
        <w:rPr>
          <w:b/>
          <w:sz w:val="24"/>
        </w:rPr>
        <w:t>6.其他无效投标的情形：</w:t>
      </w:r>
    </w:p>
    <w:p>
      <w:pPr>
        <w:pStyle w:val="4"/>
        <w:ind w:firstLine="480"/>
      </w:pPr>
      <w:r>
        <w:t>(1)评标期间，投标人没有按评标委员会的要求提交法定代表人或其委托代理人签字的澄清、说明、补正或改变了投标文件的实质性内容的。</w:t>
      </w:r>
    </w:p>
    <w:p>
      <w:pPr>
        <w:pStyle w:val="4"/>
        <w:ind w:firstLine="480"/>
      </w:pPr>
      <w:r>
        <w:t>(2)投标文件提供虚假材料的。</w:t>
      </w:r>
    </w:p>
    <w:p>
      <w:pPr>
        <w:pStyle w:val="4"/>
        <w:ind w:firstLine="480"/>
      </w:pPr>
      <w:r>
        <w:t>(3)投标人以他人名义投标、串通投标、以行贿手段谋取中标或者以其他弄虚作假方式投标的。</w:t>
      </w:r>
    </w:p>
    <w:p>
      <w:pPr>
        <w:pStyle w:val="4"/>
        <w:ind w:firstLine="480"/>
      </w:pPr>
      <w:r>
        <w:t>(4)投标人对采购人、采购代理机构、评标委员会及其工作人员施加影响，有碍招标公平、公正的。</w:t>
      </w:r>
    </w:p>
    <w:p>
      <w:pPr>
        <w:pStyle w:val="4"/>
        <w:ind w:firstLine="480"/>
      </w:pPr>
      <w:r>
        <w:t>(5)投标文件含有采购人不能接受的附加条件的。</w:t>
      </w:r>
    </w:p>
    <w:p>
      <w:pPr>
        <w:pStyle w:val="4"/>
        <w:ind w:firstLine="480"/>
      </w:pPr>
      <w:r>
        <w:t>(6)法律、法规和招标文件规定的其他无效情形。</w:t>
      </w:r>
    </w:p>
    <w:p>
      <w:pPr>
        <w:pStyle w:val="4"/>
      </w:pPr>
      <w:r>
        <w:t xml:space="preserve">  </w:t>
      </w:r>
    </w:p>
    <w:p>
      <w:pPr>
        <w:pStyle w:val="4"/>
        <w:jc w:val="center"/>
        <w:outlineLvl w:val="1"/>
      </w:pPr>
      <w:r>
        <w:rPr>
          <w:b/>
          <w:sz w:val="36"/>
        </w:rPr>
        <w:t>第五章 合同文本</w:t>
      </w:r>
    </w:p>
    <w:p>
      <w:pPr>
        <w:pStyle w:val="4"/>
      </w:pPr>
      <w:r>
        <w:rPr>
          <w:b/>
          <w:sz w:val="21"/>
        </w:rPr>
        <w:t>广东省政府采购</w:t>
      </w:r>
    </w:p>
    <w:p>
      <w:pPr>
        <w:pStyle w:val="4"/>
        <w:jc w:val="both"/>
      </w:pPr>
      <w:r>
        <w:rPr>
          <w:b/>
        </w:rPr>
        <w:t xml:space="preserve"> </w:t>
      </w:r>
    </w:p>
    <w:p>
      <w:pPr>
        <w:pStyle w:val="4"/>
        <w:jc w:val="center"/>
      </w:pPr>
      <w:r>
        <w:rPr>
          <w:b/>
          <w:sz w:val="21"/>
        </w:rPr>
        <w:t>合　同　书</w:t>
      </w:r>
    </w:p>
    <w:p>
      <w:pPr>
        <w:pStyle w:val="4"/>
        <w:jc w:val="center"/>
      </w:pPr>
      <w:r>
        <w:br w:type="textWrapping"/>
      </w:r>
      <w:r>
        <w:br w:type="textWrapping"/>
      </w:r>
      <w:r>
        <w:t xml:space="preserve">  </w:t>
      </w:r>
    </w:p>
    <w:p>
      <w:pPr>
        <w:pStyle w:val="4"/>
      </w:pPr>
      <w:r>
        <w:rPr>
          <w:color w:val="222222"/>
          <w:sz w:val="21"/>
        </w:rPr>
        <w:t>采购计划编号：</w:t>
      </w:r>
      <w:r>
        <w:rPr>
          <w:u w:val="single"/>
        </w:rPr>
        <w:t xml:space="preserve">                                     </w:t>
      </w:r>
    </w:p>
    <w:p>
      <w:pPr>
        <w:pStyle w:val="4"/>
        <w:spacing w:before="150" w:after="150"/>
      </w:pPr>
      <w:r>
        <w:t xml:space="preserve"> </w:t>
      </w:r>
    </w:p>
    <w:p>
      <w:pPr>
        <w:pStyle w:val="4"/>
      </w:pPr>
      <w:r>
        <w:rPr>
          <w:color w:val="222222"/>
          <w:sz w:val="21"/>
        </w:rPr>
        <w:t>项目编号：</w:t>
      </w:r>
      <w:r>
        <w:rPr>
          <w:u w:val="single"/>
        </w:rPr>
        <w:t xml:space="preserve">                                         </w:t>
      </w:r>
    </w:p>
    <w:p>
      <w:pPr>
        <w:pStyle w:val="4"/>
        <w:spacing w:before="150" w:after="150"/>
      </w:pPr>
      <w:r>
        <w:t xml:space="preserve"> </w:t>
      </w:r>
    </w:p>
    <w:p>
      <w:pPr>
        <w:pStyle w:val="4"/>
      </w:pPr>
      <w:r>
        <w:rPr>
          <w:color w:val="222222"/>
          <w:sz w:val="21"/>
        </w:rPr>
        <w:t>项目名称：</w:t>
      </w:r>
      <w:r>
        <w:rPr>
          <w:u w:val="single"/>
        </w:rPr>
        <w:t xml:space="preserve">                                              </w:t>
      </w:r>
    </w:p>
    <w:p>
      <w:pPr>
        <w:pStyle w:val="4"/>
      </w:pPr>
      <w:r>
        <w:t xml:space="preserve"> </w:t>
      </w:r>
    </w:p>
    <w:p>
      <w:pPr>
        <w:pStyle w:val="4"/>
      </w:pPr>
      <w:r>
        <w:rPr>
          <w:color w:val="222222"/>
          <w:sz w:val="21"/>
        </w:rPr>
        <w:t>合同编号：</w:t>
      </w:r>
      <w:r>
        <w:rPr>
          <w:u w:val="single"/>
        </w:rPr>
        <w:t xml:space="preserve">                                  </w:t>
      </w:r>
    </w:p>
    <w:p>
      <w:pPr>
        <w:pStyle w:val="4"/>
        <w:ind w:firstLine="200"/>
        <w:jc w:val="both"/>
      </w:pPr>
      <w:r>
        <w:t xml:space="preserve"> </w:t>
      </w:r>
    </w:p>
    <w:p>
      <w:pPr>
        <w:pStyle w:val="4"/>
        <w:ind w:firstLine="200"/>
        <w:jc w:val="both"/>
      </w:pPr>
      <w:r>
        <w:rPr>
          <w:b/>
          <w:color w:val="222222"/>
          <w:sz w:val="21"/>
          <w:shd w:val="clear" w:fill="FFFFFF"/>
        </w:rPr>
        <w:t xml:space="preserve">甲方： </w:t>
      </w:r>
      <w:r>
        <w:rPr>
          <w:b/>
          <w:color w:val="222222"/>
          <w:sz w:val="21"/>
          <w:u w:val="single"/>
          <w:shd w:val="clear" w:fill="FFFFFF"/>
        </w:rPr>
        <w:t xml:space="preserve">  </w:t>
      </w:r>
      <w:r>
        <w:rPr>
          <w:b/>
          <w:color w:val="000000"/>
          <w:sz w:val="24"/>
          <w:u w:val="single"/>
          <w:shd w:val="clear" w:fill="FFFFFF"/>
        </w:rPr>
        <w:t xml:space="preserve">                                    </w:t>
      </w:r>
    </w:p>
    <w:p>
      <w:pPr>
        <w:pStyle w:val="4"/>
        <w:ind w:firstLine="200"/>
        <w:jc w:val="both"/>
      </w:pPr>
      <w:r>
        <w:rPr>
          <w:color w:val="222222"/>
          <w:sz w:val="21"/>
          <w:shd w:val="clear" w:fill="FFFFFF"/>
        </w:rPr>
        <w:t xml:space="preserve">电话： </w:t>
      </w:r>
      <w:r>
        <w:rPr>
          <w:b/>
          <w:color w:val="222222"/>
          <w:sz w:val="21"/>
          <w:u w:val="single"/>
          <w:shd w:val="clear" w:fill="FFFFFF"/>
        </w:rPr>
        <w:t xml:space="preserve">   </w:t>
      </w:r>
      <w:r>
        <w:rPr>
          <w:color w:val="222222"/>
          <w:sz w:val="21"/>
          <w:shd w:val="clear" w:fill="FFFFFF"/>
        </w:rPr>
        <w:t xml:space="preserve">传真 ： </w:t>
      </w:r>
      <w:r>
        <w:rPr>
          <w:b/>
          <w:color w:val="222222"/>
          <w:sz w:val="21"/>
          <w:u w:val="single"/>
          <w:shd w:val="clear" w:fill="FFFFFF"/>
        </w:rPr>
        <w:t xml:space="preserve">   </w:t>
      </w:r>
      <w:r>
        <w:rPr>
          <w:color w:val="222222"/>
          <w:sz w:val="21"/>
          <w:shd w:val="clear" w:fill="FFFFFF"/>
        </w:rPr>
        <w:t xml:space="preserve">地址： </w:t>
      </w:r>
      <w:r>
        <w:rPr>
          <w:b/>
          <w:color w:val="222222"/>
          <w:sz w:val="21"/>
          <w:u w:val="single"/>
          <w:shd w:val="clear" w:fill="FFFFFF"/>
        </w:rPr>
        <w:t xml:space="preserve">     </w:t>
      </w:r>
    </w:p>
    <w:p>
      <w:pPr>
        <w:pStyle w:val="4"/>
        <w:ind w:firstLine="200"/>
        <w:jc w:val="both"/>
      </w:pPr>
      <w:r>
        <w:rPr>
          <w:b/>
          <w:color w:val="222222"/>
          <w:sz w:val="21"/>
          <w:shd w:val="clear" w:fill="FFFFFF"/>
        </w:rPr>
        <w:t xml:space="preserve">乙方： </w:t>
      </w:r>
      <w:r>
        <w:rPr>
          <w:b/>
          <w:color w:val="222222"/>
          <w:sz w:val="21"/>
          <w:u w:val="single"/>
          <w:shd w:val="clear" w:fill="FFFFFF"/>
        </w:rPr>
        <w:t xml:space="preserve"> </w:t>
      </w:r>
      <w:r>
        <w:rPr>
          <w:b/>
          <w:color w:val="000000"/>
          <w:sz w:val="24"/>
          <w:u w:val="single"/>
          <w:shd w:val="clear" w:fill="FFFFFF"/>
        </w:rPr>
        <w:t xml:space="preserve">                                  </w:t>
      </w:r>
      <w:r>
        <w:rPr>
          <w:b/>
          <w:color w:val="222222"/>
          <w:sz w:val="21"/>
          <w:u w:val="single"/>
          <w:shd w:val="clear" w:fill="FFFFFF"/>
        </w:rPr>
        <w:t xml:space="preserve">  </w:t>
      </w:r>
    </w:p>
    <w:p>
      <w:pPr>
        <w:pStyle w:val="4"/>
        <w:ind w:firstLine="200"/>
        <w:jc w:val="both"/>
      </w:pPr>
      <w:r>
        <w:rPr>
          <w:color w:val="222222"/>
          <w:sz w:val="21"/>
          <w:shd w:val="clear" w:fill="FFFFFF"/>
        </w:rPr>
        <w:t xml:space="preserve">电话： </w:t>
      </w:r>
      <w:r>
        <w:rPr>
          <w:b/>
          <w:color w:val="222222"/>
          <w:sz w:val="21"/>
          <w:u w:val="single"/>
          <w:shd w:val="clear" w:fill="FFFFFF"/>
        </w:rPr>
        <w:t xml:space="preserve">    </w:t>
      </w:r>
      <w:r>
        <w:rPr>
          <w:color w:val="222222"/>
          <w:sz w:val="21"/>
          <w:shd w:val="clear" w:fill="FFFFFF"/>
        </w:rPr>
        <w:t>传真：</w:t>
      </w:r>
      <w:r>
        <w:rPr>
          <w:b/>
          <w:color w:val="222222"/>
          <w:sz w:val="21"/>
          <w:u w:val="single"/>
          <w:shd w:val="clear" w:fill="FFFFFF"/>
        </w:rPr>
        <w:t xml:space="preserve">     </w:t>
      </w:r>
      <w:r>
        <w:rPr>
          <w:color w:val="222222"/>
          <w:sz w:val="21"/>
          <w:shd w:val="clear" w:fill="FFFFFF"/>
        </w:rPr>
        <w:t xml:space="preserve">地址： </w:t>
      </w:r>
      <w:r>
        <w:rPr>
          <w:b/>
          <w:color w:val="222222"/>
          <w:sz w:val="21"/>
          <w:u w:val="single"/>
          <w:shd w:val="clear" w:fill="FFFFFF"/>
        </w:rPr>
        <w:t xml:space="preserve">    </w:t>
      </w:r>
    </w:p>
    <w:p>
      <w:pPr>
        <w:pStyle w:val="4"/>
        <w:ind w:firstLine="200"/>
        <w:jc w:val="both"/>
      </w:pPr>
      <w:r>
        <w:rPr>
          <w:color w:val="222222"/>
          <w:sz w:val="21"/>
          <w:shd w:val="clear" w:fill="FFFFFF"/>
        </w:rPr>
        <w:t xml:space="preserve"> </w:t>
      </w:r>
    </w:p>
    <w:p>
      <w:pPr>
        <w:pStyle w:val="4"/>
        <w:ind w:firstLine="420"/>
        <w:jc w:val="both"/>
      </w:pPr>
      <w:r>
        <w:rPr>
          <w:color w:val="222222"/>
          <w:sz w:val="21"/>
          <w:shd w:val="clear" w:fill="FFFFFF"/>
        </w:rPr>
        <w:t xml:space="preserve">根据 </w:t>
      </w:r>
      <w:r>
        <w:rPr>
          <w:color w:val="222222"/>
          <w:sz w:val="21"/>
          <w:u w:val="single"/>
          <w:shd w:val="clear" w:fill="FFFFFF"/>
        </w:rPr>
        <w:t xml:space="preserve">         项目 </w:t>
      </w:r>
      <w:r>
        <w:rPr>
          <w:color w:val="222222"/>
          <w:sz w:val="21"/>
          <w:shd w:val="clear" w:fill="FFFFFF"/>
        </w:rPr>
        <w:t>的公开招投标结果，按照《中华人民共和国政府采购法》，《中华人民共和国民法典(合同编)》的规定，经双方协商，本着平等互利和诚实信用的原则，一致同意遵守本合同如下。</w:t>
      </w:r>
    </w:p>
    <w:p>
      <w:pPr>
        <w:pStyle w:val="4"/>
        <w:ind w:left="420" w:firstLine="200"/>
        <w:jc w:val="both"/>
      </w:pPr>
      <w:r>
        <w:rPr>
          <w:b/>
          <w:color w:val="222222"/>
          <w:sz w:val="21"/>
          <w:shd w:val="clear" w:fill="FFFFFF"/>
        </w:rPr>
        <w:t>一、项目概况</w:t>
      </w:r>
    </w:p>
    <w:p>
      <w:pPr>
        <w:pStyle w:val="4"/>
        <w:ind w:firstLine="420"/>
        <w:jc w:val="both"/>
      </w:pPr>
      <w:r>
        <w:rPr>
          <w:color w:val="222222"/>
          <w:sz w:val="21"/>
          <w:shd w:val="clear" w:fill="FFFFFF"/>
        </w:rPr>
        <w:t>根据惠州市第二妇幼保健院建设发展战略要求，本次项目包含应用软件开发、接口服务、历史数据迁移服务、</w:t>
      </w:r>
      <w:r>
        <w:rPr>
          <w:color w:val="000000"/>
          <w:sz w:val="21"/>
          <w:shd w:val="clear" w:fill="FFFFFF"/>
        </w:rPr>
        <w:t>电子病历、互联互通测评支持服务、</w:t>
      </w:r>
      <w:r>
        <w:rPr>
          <w:color w:val="000000"/>
          <w:sz w:val="24"/>
          <w:shd w:val="clear" w:fill="FFFFFF"/>
        </w:rPr>
        <w:t>IT基础设施建设</w:t>
      </w:r>
      <w:r>
        <w:rPr>
          <w:color w:val="222222"/>
          <w:sz w:val="21"/>
          <w:shd w:val="clear" w:fill="FFFFFF"/>
        </w:rPr>
        <w:t>。</w:t>
      </w:r>
    </w:p>
    <w:p>
      <w:pPr>
        <w:pStyle w:val="4"/>
        <w:ind w:left="420" w:firstLine="200"/>
        <w:jc w:val="both"/>
      </w:pPr>
      <w:r>
        <w:rPr>
          <w:b/>
          <w:color w:val="222222"/>
          <w:sz w:val="21"/>
          <w:shd w:val="clear" w:fill="FFFFFF"/>
        </w:rPr>
        <w:t>二、合同清单及金额</w:t>
      </w:r>
    </w:p>
    <w:p>
      <w:pPr>
        <w:pStyle w:val="4"/>
        <w:ind w:firstLine="420"/>
        <w:jc w:val="both"/>
      </w:pPr>
      <w:r>
        <w:rPr>
          <w:color w:val="000000"/>
          <w:sz w:val="21"/>
          <w:shd w:val="clear" w:fill="FFFFFF"/>
        </w:rPr>
        <w:t>本合同总价为含税人民币大写</w:t>
      </w:r>
      <w:r>
        <w:rPr>
          <w:color w:val="000000"/>
          <w:sz w:val="24"/>
          <w:u w:val="single"/>
          <w:shd w:val="clear" w:fill="FFFFFF"/>
        </w:rPr>
        <w:t xml:space="preserve">      </w:t>
      </w:r>
      <w:r>
        <w:rPr>
          <w:color w:val="000000"/>
          <w:sz w:val="21"/>
          <w:u w:val="single"/>
          <w:shd w:val="clear" w:fill="FFFFFF"/>
        </w:rPr>
        <w:t>元</w:t>
      </w:r>
      <w:r>
        <w:rPr>
          <w:color w:val="000000"/>
          <w:sz w:val="21"/>
          <w:shd w:val="clear" w:fill="FFFFFF"/>
        </w:rPr>
        <w:t>，（小写）￥</w:t>
      </w:r>
      <w:r>
        <w:rPr>
          <w:color w:val="000000"/>
          <w:sz w:val="24"/>
          <w:u w:val="single"/>
          <w:shd w:val="clear" w:fill="FFFFFF"/>
        </w:rPr>
        <w:t xml:space="preserve">        </w:t>
      </w:r>
      <w:r>
        <w:rPr>
          <w:color w:val="000000"/>
          <w:sz w:val="21"/>
          <w:shd w:val="clear" w:fill="FFFFFF"/>
        </w:rPr>
        <w:t>元。</w:t>
      </w:r>
    </w:p>
    <w:p>
      <w:pPr>
        <w:pStyle w:val="4"/>
        <w:ind w:firstLine="420"/>
        <w:jc w:val="both"/>
      </w:pPr>
      <w:r>
        <w:rPr>
          <w:color w:val="222222"/>
          <w:sz w:val="21"/>
          <w:shd w:val="clear" w:fill="FFFFFF"/>
        </w:rPr>
        <w:t>合同详细清单如下：</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84"/>
        <w:gridCol w:w="662"/>
        <w:gridCol w:w="303"/>
        <w:gridCol w:w="307"/>
        <w:gridCol w:w="305"/>
        <w:gridCol w:w="894"/>
        <w:gridCol w:w="304"/>
        <w:gridCol w:w="307"/>
        <w:gridCol w:w="304"/>
        <w:gridCol w:w="304"/>
        <w:gridCol w:w="306"/>
        <w:gridCol w:w="305"/>
        <w:gridCol w:w="613"/>
        <w:gridCol w:w="301"/>
        <w:gridCol w:w="307"/>
        <w:gridCol w:w="506"/>
        <w:gridCol w:w="558"/>
        <w:gridCol w:w="645"/>
        <w:gridCol w:w="302"/>
        <w:gridCol w:w="222"/>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59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b/>
                <w:color w:val="000000"/>
                <w:sz w:val="21"/>
              </w:rPr>
              <w:t>一</w:t>
            </w:r>
          </w:p>
        </w:tc>
        <w:tc>
          <w:tcPr>
            <w:tcW w:w="7685" w:type="dxa"/>
            <w:gridSpan w:val="18"/>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b/>
                <w:color w:val="000000"/>
                <w:sz w:val="21"/>
              </w:rPr>
              <w:t>应用软件开发</w:t>
            </w:r>
          </w:p>
        </w:tc>
        <w:tc>
          <w:tcPr>
            <w:tcW w:w="0" w:type="dxa"/>
            <w:tcBorders>
              <w:top w:val="nil"/>
              <w:left w:val="nil"/>
              <w:bottom w:val="single" w:color="000000" w:sz="4" w:space="0"/>
              <w:right w:val="nil"/>
            </w:tcBorders>
          </w:tcPr>
          <w:p>
            <w:pPr>
              <w:pStyle w:val="4"/>
            </w:pPr>
            <w:r>
              <w:rPr>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524" w:type="dxa"/>
        </w:trPr>
        <w:tc>
          <w:tcPr>
            <w:tcW w:w="597"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b/>
                <w:color w:val="000000"/>
                <w:sz w:val="21"/>
              </w:rPr>
              <w:t>序号</w:t>
            </w:r>
          </w:p>
        </w:tc>
        <w:tc>
          <w:tcPr>
            <w:tcW w:w="67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b/>
                <w:color w:val="000000"/>
                <w:sz w:val="21"/>
              </w:rPr>
              <w:t>分类</w:t>
            </w:r>
          </w:p>
        </w:tc>
        <w:tc>
          <w:tcPr>
            <w:tcW w:w="2159" w:type="dxa"/>
            <w:gridSpan w:val="5"/>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b/>
                <w:color w:val="000000"/>
                <w:sz w:val="21"/>
              </w:rPr>
              <w:t>子系统</w:t>
            </w:r>
          </w:p>
        </w:tc>
        <w:tc>
          <w:tcPr>
            <w:tcW w:w="624"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数量</w:t>
            </w:r>
          </w:p>
        </w:tc>
        <w:tc>
          <w:tcPr>
            <w:tcW w:w="936"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单位</w:t>
            </w:r>
          </w:p>
        </w:tc>
        <w:tc>
          <w:tcPr>
            <w:tcW w:w="627"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品牌</w:t>
            </w:r>
          </w:p>
        </w:tc>
        <w:tc>
          <w:tcPr>
            <w:tcW w:w="1131"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版本号</w:t>
            </w:r>
          </w:p>
        </w:tc>
        <w:tc>
          <w:tcPr>
            <w:tcW w:w="567"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单价</w:t>
            </w:r>
          </w:p>
        </w:tc>
        <w:tc>
          <w:tcPr>
            <w:tcW w:w="657"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小计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524" w:type="dxa"/>
        </w:trPr>
        <w:tc>
          <w:tcPr>
            <w:tcW w:w="597" w:type="dxa"/>
            <w:vMerge w:val="restart"/>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color w:val="000000"/>
                <w:sz w:val="21"/>
              </w:rPr>
              <w:t>1</w:t>
            </w:r>
          </w:p>
        </w:tc>
        <w:tc>
          <w:tcPr>
            <w:tcW w:w="672" w:type="dxa"/>
            <w:vMerge w:val="restart"/>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color w:val="000000"/>
                <w:sz w:val="21"/>
              </w:rPr>
              <w:t>基础管理</w:t>
            </w:r>
          </w:p>
        </w:tc>
        <w:tc>
          <w:tcPr>
            <w:tcW w:w="2159" w:type="dxa"/>
            <w:gridSpan w:val="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基础数据管理平台</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6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13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567"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657"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524" w:type="dxa"/>
        </w:trPr>
        <w:tc>
          <w:tcPr>
            <w:tcW w:w="597" w:type="dxa"/>
            <w:vMerge w:val="continue"/>
            <w:tcBorders>
              <w:top w:val="nil"/>
              <w:left w:val="single" w:color="000000" w:sz="4" w:space="0"/>
              <w:bottom w:val="single" w:color="000000" w:sz="4" w:space="0"/>
              <w:right w:val="single" w:color="000000" w:sz="4" w:space="0"/>
            </w:tcBorders>
          </w:tcPr>
          <w:p/>
        </w:tc>
        <w:tc>
          <w:tcPr>
            <w:tcW w:w="672" w:type="dxa"/>
            <w:vMerge w:val="continue"/>
            <w:tcBorders>
              <w:top w:val="nil"/>
              <w:left w:val="nil"/>
              <w:bottom w:val="single" w:color="000000" w:sz="4" w:space="0"/>
              <w:right w:val="single" w:color="000000" w:sz="4" w:space="0"/>
            </w:tcBorders>
          </w:tcPr>
          <w:p/>
        </w:tc>
        <w:tc>
          <w:tcPr>
            <w:tcW w:w="2159" w:type="dxa"/>
            <w:gridSpan w:val="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基础平台</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6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13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567"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657"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524" w:type="dxa"/>
        </w:trPr>
        <w:tc>
          <w:tcPr>
            <w:tcW w:w="597" w:type="dxa"/>
            <w:vMerge w:val="restart"/>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color w:val="000000"/>
                <w:sz w:val="21"/>
              </w:rPr>
              <w:t>2</w:t>
            </w:r>
          </w:p>
        </w:tc>
        <w:tc>
          <w:tcPr>
            <w:tcW w:w="672" w:type="dxa"/>
            <w:vMerge w:val="restart"/>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门(急)诊管理</w:t>
            </w:r>
          </w:p>
        </w:tc>
        <w:tc>
          <w:tcPr>
            <w:tcW w:w="2159" w:type="dxa"/>
            <w:gridSpan w:val="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一卡通管理系统</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6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13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567"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657"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524" w:type="dxa"/>
        </w:trPr>
        <w:tc>
          <w:tcPr>
            <w:tcW w:w="597" w:type="dxa"/>
            <w:vMerge w:val="continue"/>
            <w:tcBorders>
              <w:top w:val="nil"/>
              <w:left w:val="single" w:color="000000" w:sz="4" w:space="0"/>
              <w:bottom w:val="single" w:color="000000" w:sz="4" w:space="0"/>
              <w:right w:val="single" w:color="000000" w:sz="4" w:space="0"/>
            </w:tcBorders>
          </w:tcPr>
          <w:p/>
        </w:tc>
        <w:tc>
          <w:tcPr>
            <w:tcW w:w="672" w:type="dxa"/>
            <w:vMerge w:val="continue"/>
            <w:tcBorders>
              <w:top w:val="nil"/>
              <w:left w:val="nil"/>
              <w:bottom w:val="single" w:color="000000" w:sz="4" w:space="0"/>
              <w:right w:val="single" w:color="000000" w:sz="4" w:space="0"/>
            </w:tcBorders>
          </w:tcPr>
          <w:p/>
        </w:tc>
        <w:tc>
          <w:tcPr>
            <w:tcW w:w="2159" w:type="dxa"/>
            <w:gridSpan w:val="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门诊预约挂号系统</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6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13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567"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657"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524" w:type="dxa"/>
        </w:trPr>
        <w:tc>
          <w:tcPr>
            <w:tcW w:w="597" w:type="dxa"/>
            <w:vMerge w:val="continue"/>
            <w:tcBorders>
              <w:top w:val="nil"/>
              <w:left w:val="single" w:color="000000" w:sz="4" w:space="0"/>
              <w:bottom w:val="single" w:color="000000" w:sz="4" w:space="0"/>
              <w:right w:val="single" w:color="000000" w:sz="4" w:space="0"/>
            </w:tcBorders>
          </w:tcPr>
          <w:p/>
        </w:tc>
        <w:tc>
          <w:tcPr>
            <w:tcW w:w="672" w:type="dxa"/>
            <w:vMerge w:val="continue"/>
            <w:tcBorders>
              <w:top w:val="nil"/>
              <w:left w:val="nil"/>
              <w:bottom w:val="single" w:color="000000" w:sz="4" w:space="0"/>
              <w:right w:val="single" w:color="000000" w:sz="4" w:space="0"/>
            </w:tcBorders>
          </w:tcPr>
          <w:p/>
        </w:tc>
        <w:tc>
          <w:tcPr>
            <w:tcW w:w="2159" w:type="dxa"/>
            <w:gridSpan w:val="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急诊预检分诊系统</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6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13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567"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657"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524" w:type="dxa"/>
        </w:trPr>
        <w:tc>
          <w:tcPr>
            <w:tcW w:w="597" w:type="dxa"/>
            <w:vMerge w:val="continue"/>
            <w:tcBorders>
              <w:top w:val="nil"/>
              <w:left w:val="single" w:color="000000" w:sz="4" w:space="0"/>
              <w:bottom w:val="single" w:color="000000" w:sz="4" w:space="0"/>
              <w:right w:val="single" w:color="000000" w:sz="4" w:space="0"/>
            </w:tcBorders>
          </w:tcPr>
          <w:p/>
        </w:tc>
        <w:tc>
          <w:tcPr>
            <w:tcW w:w="672" w:type="dxa"/>
            <w:vMerge w:val="continue"/>
            <w:tcBorders>
              <w:top w:val="nil"/>
              <w:left w:val="nil"/>
              <w:bottom w:val="single" w:color="000000" w:sz="4" w:space="0"/>
              <w:right w:val="single" w:color="000000" w:sz="4" w:space="0"/>
            </w:tcBorders>
          </w:tcPr>
          <w:p/>
        </w:tc>
        <w:tc>
          <w:tcPr>
            <w:tcW w:w="2159" w:type="dxa"/>
            <w:gridSpan w:val="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门诊分诊排队叫号系统</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6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13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567"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657"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524" w:type="dxa"/>
        </w:trPr>
        <w:tc>
          <w:tcPr>
            <w:tcW w:w="597" w:type="dxa"/>
            <w:vMerge w:val="continue"/>
            <w:tcBorders>
              <w:top w:val="nil"/>
              <w:left w:val="single" w:color="000000" w:sz="4" w:space="0"/>
              <w:bottom w:val="single" w:color="000000" w:sz="4" w:space="0"/>
              <w:right w:val="single" w:color="000000" w:sz="4" w:space="0"/>
            </w:tcBorders>
          </w:tcPr>
          <w:p/>
        </w:tc>
        <w:tc>
          <w:tcPr>
            <w:tcW w:w="672" w:type="dxa"/>
            <w:vMerge w:val="continue"/>
            <w:tcBorders>
              <w:top w:val="nil"/>
              <w:left w:val="nil"/>
              <w:bottom w:val="single" w:color="000000" w:sz="4" w:space="0"/>
              <w:right w:val="single" w:color="000000" w:sz="4" w:space="0"/>
            </w:tcBorders>
          </w:tcPr>
          <w:p/>
        </w:tc>
        <w:tc>
          <w:tcPr>
            <w:tcW w:w="2159" w:type="dxa"/>
            <w:gridSpan w:val="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门急诊挂号收费系统</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6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13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567"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657"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524" w:type="dxa"/>
        </w:trPr>
        <w:tc>
          <w:tcPr>
            <w:tcW w:w="597" w:type="dxa"/>
            <w:vMerge w:val="continue"/>
            <w:tcBorders>
              <w:top w:val="nil"/>
              <w:left w:val="single" w:color="000000" w:sz="4" w:space="0"/>
              <w:bottom w:val="single" w:color="000000" w:sz="4" w:space="0"/>
              <w:right w:val="single" w:color="000000" w:sz="4" w:space="0"/>
            </w:tcBorders>
          </w:tcPr>
          <w:p/>
        </w:tc>
        <w:tc>
          <w:tcPr>
            <w:tcW w:w="672" w:type="dxa"/>
            <w:vMerge w:val="continue"/>
            <w:tcBorders>
              <w:top w:val="nil"/>
              <w:left w:val="nil"/>
              <w:bottom w:val="single" w:color="000000" w:sz="4" w:space="0"/>
              <w:right w:val="single" w:color="000000" w:sz="4" w:space="0"/>
            </w:tcBorders>
          </w:tcPr>
          <w:p/>
        </w:tc>
        <w:tc>
          <w:tcPr>
            <w:tcW w:w="2159" w:type="dxa"/>
            <w:gridSpan w:val="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门急诊医生工作站</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6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13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567"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657"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524" w:type="dxa"/>
        </w:trPr>
        <w:tc>
          <w:tcPr>
            <w:tcW w:w="597" w:type="dxa"/>
            <w:vMerge w:val="continue"/>
            <w:tcBorders>
              <w:top w:val="nil"/>
              <w:left w:val="single" w:color="000000" w:sz="4" w:space="0"/>
              <w:bottom w:val="single" w:color="000000" w:sz="4" w:space="0"/>
              <w:right w:val="single" w:color="000000" w:sz="4" w:space="0"/>
            </w:tcBorders>
          </w:tcPr>
          <w:p/>
        </w:tc>
        <w:tc>
          <w:tcPr>
            <w:tcW w:w="672" w:type="dxa"/>
            <w:vMerge w:val="continue"/>
            <w:tcBorders>
              <w:top w:val="nil"/>
              <w:left w:val="nil"/>
              <w:bottom w:val="single" w:color="000000" w:sz="4" w:space="0"/>
              <w:right w:val="single" w:color="000000" w:sz="4" w:space="0"/>
            </w:tcBorders>
          </w:tcPr>
          <w:p/>
        </w:tc>
        <w:tc>
          <w:tcPr>
            <w:tcW w:w="2159" w:type="dxa"/>
            <w:gridSpan w:val="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门急诊输液管理</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6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13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567"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657"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524" w:type="dxa"/>
        </w:trPr>
        <w:tc>
          <w:tcPr>
            <w:tcW w:w="597" w:type="dxa"/>
            <w:vMerge w:val="continue"/>
            <w:tcBorders>
              <w:top w:val="nil"/>
              <w:left w:val="single" w:color="000000" w:sz="4" w:space="0"/>
              <w:bottom w:val="single" w:color="000000" w:sz="4" w:space="0"/>
              <w:right w:val="single" w:color="000000" w:sz="4" w:space="0"/>
            </w:tcBorders>
          </w:tcPr>
          <w:p/>
        </w:tc>
        <w:tc>
          <w:tcPr>
            <w:tcW w:w="672" w:type="dxa"/>
            <w:vMerge w:val="continue"/>
            <w:tcBorders>
              <w:top w:val="nil"/>
              <w:left w:val="nil"/>
              <w:bottom w:val="single" w:color="000000" w:sz="4" w:space="0"/>
              <w:right w:val="single" w:color="000000" w:sz="4" w:space="0"/>
            </w:tcBorders>
          </w:tcPr>
          <w:p/>
        </w:tc>
        <w:tc>
          <w:tcPr>
            <w:tcW w:w="2159" w:type="dxa"/>
            <w:gridSpan w:val="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日间手术管理系统</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6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13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567"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657"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524" w:type="dxa"/>
        </w:trPr>
        <w:tc>
          <w:tcPr>
            <w:tcW w:w="597" w:type="dxa"/>
            <w:vMerge w:val="continue"/>
            <w:tcBorders>
              <w:top w:val="nil"/>
              <w:left w:val="single" w:color="000000" w:sz="4" w:space="0"/>
              <w:bottom w:val="single" w:color="000000" w:sz="4" w:space="0"/>
              <w:right w:val="single" w:color="000000" w:sz="4" w:space="0"/>
            </w:tcBorders>
          </w:tcPr>
          <w:p/>
        </w:tc>
        <w:tc>
          <w:tcPr>
            <w:tcW w:w="672" w:type="dxa"/>
            <w:vMerge w:val="continue"/>
            <w:tcBorders>
              <w:top w:val="nil"/>
              <w:left w:val="nil"/>
              <w:bottom w:val="single" w:color="000000" w:sz="4" w:space="0"/>
              <w:right w:val="single" w:color="000000" w:sz="4" w:space="0"/>
            </w:tcBorders>
          </w:tcPr>
          <w:p/>
        </w:tc>
        <w:tc>
          <w:tcPr>
            <w:tcW w:w="2159" w:type="dxa"/>
            <w:gridSpan w:val="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急诊留观系统</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6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13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567"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657"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524" w:type="dxa"/>
        </w:trPr>
        <w:tc>
          <w:tcPr>
            <w:tcW w:w="597" w:type="dxa"/>
            <w:vMerge w:val="restart"/>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3</w:t>
            </w:r>
          </w:p>
        </w:tc>
        <w:tc>
          <w:tcPr>
            <w:tcW w:w="672" w:type="dxa"/>
            <w:vMerge w:val="restart"/>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住院管理</w:t>
            </w:r>
          </w:p>
        </w:tc>
        <w:tc>
          <w:tcPr>
            <w:tcW w:w="2159" w:type="dxa"/>
            <w:gridSpan w:val="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住院收费系统</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6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13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567"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657"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524" w:type="dxa"/>
        </w:trPr>
        <w:tc>
          <w:tcPr>
            <w:tcW w:w="597" w:type="dxa"/>
            <w:vMerge w:val="continue"/>
            <w:tcBorders>
              <w:top w:val="nil"/>
              <w:left w:val="single" w:color="000000" w:sz="4" w:space="0"/>
              <w:bottom w:val="single" w:color="000000" w:sz="4" w:space="0"/>
              <w:right w:val="single" w:color="000000" w:sz="4" w:space="0"/>
            </w:tcBorders>
          </w:tcPr>
          <w:p/>
        </w:tc>
        <w:tc>
          <w:tcPr>
            <w:tcW w:w="672" w:type="dxa"/>
            <w:vMerge w:val="continue"/>
            <w:tcBorders>
              <w:top w:val="nil"/>
              <w:left w:val="nil"/>
              <w:bottom w:val="single" w:color="000000" w:sz="4" w:space="0"/>
              <w:right w:val="single" w:color="000000" w:sz="4" w:space="0"/>
            </w:tcBorders>
          </w:tcPr>
          <w:p/>
        </w:tc>
        <w:tc>
          <w:tcPr>
            <w:tcW w:w="2159" w:type="dxa"/>
            <w:gridSpan w:val="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住院出入转管理</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6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13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567"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657"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524" w:type="dxa"/>
        </w:trPr>
        <w:tc>
          <w:tcPr>
            <w:tcW w:w="597" w:type="dxa"/>
            <w:vMerge w:val="continue"/>
            <w:tcBorders>
              <w:top w:val="nil"/>
              <w:left w:val="single" w:color="000000" w:sz="4" w:space="0"/>
              <w:bottom w:val="single" w:color="000000" w:sz="4" w:space="0"/>
              <w:right w:val="single" w:color="000000" w:sz="4" w:space="0"/>
            </w:tcBorders>
          </w:tcPr>
          <w:p/>
        </w:tc>
        <w:tc>
          <w:tcPr>
            <w:tcW w:w="672" w:type="dxa"/>
            <w:vMerge w:val="continue"/>
            <w:tcBorders>
              <w:top w:val="nil"/>
              <w:left w:val="nil"/>
              <w:bottom w:val="single" w:color="000000" w:sz="4" w:space="0"/>
              <w:right w:val="single" w:color="000000" w:sz="4" w:space="0"/>
            </w:tcBorders>
          </w:tcPr>
          <w:p/>
        </w:tc>
        <w:tc>
          <w:tcPr>
            <w:tcW w:w="2159" w:type="dxa"/>
            <w:gridSpan w:val="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住院医生工作站</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6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13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567"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657"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524" w:type="dxa"/>
        </w:trPr>
        <w:tc>
          <w:tcPr>
            <w:tcW w:w="597" w:type="dxa"/>
            <w:vMerge w:val="continue"/>
            <w:tcBorders>
              <w:top w:val="nil"/>
              <w:left w:val="single" w:color="000000" w:sz="4" w:space="0"/>
              <w:bottom w:val="single" w:color="000000" w:sz="4" w:space="0"/>
              <w:right w:val="single" w:color="000000" w:sz="4" w:space="0"/>
            </w:tcBorders>
          </w:tcPr>
          <w:p/>
        </w:tc>
        <w:tc>
          <w:tcPr>
            <w:tcW w:w="672" w:type="dxa"/>
            <w:vMerge w:val="continue"/>
            <w:tcBorders>
              <w:top w:val="nil"/>
              <w:left w:val="nil"/>
              <w:bottom w:val="single" w:color="000000" w:sz="4" w:space="0"/>
              <w:right w:val="single" w:color="000000" w:sz="4" w:space="0"/>
            </w:tcBorders>
          </w:tcPr>
          <w:p/>
        </w:tc>
        <w:tc>
          <w:tcPr>
            <w:tcW w:w="2159" w:type="dxa"/>
            <w:gridSpan w:val="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住院护士工作站</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6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13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567"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657"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524" w:type="dxa"/>
        </w:trPr>
        <w:tc>
          <w:tcPr>
            <w:tcW w:w="597" w:type="dxa"/>
            <w:vMerge w:val="continue"/>
            <w:tcBorders>
              <w:top w:val="nil"/>
              <w:left w:val="single" w:color="000000" w:sz="4" w:space="0"/>
              <w:bottom w:val="single" w:color="000000" w:sz="4" w:space="0"/>
              <w:right w:val="single" w:color="000000" w:sz="4" w:space="0"/>
            </w:tcBorders>
          </w:tcPr>
          <w:p/>
        </w:tc>
        <w:tc>
          <w:tcPr>
            <w:tcW w:w="672" w:type="dxa"/>
            <w:vMerge w:val="continue"/>
            <w:tcBorders>
              <w:top w:val="nil"/>
              <w:left w:val="nil"/>
              <w:bottom w:val="single" w:color="000000" w:sz="4" w:space="0"/>
              <w:right w:val="single" w:color="000000" w:sz="4" w:space="0"/>
            </w:tcBorders>
          </w:tcPr>
          <w:p/>
        </w:tc>
        <w:tc>
          <w:tcPr>
            <w:tcW w:w="2159" w:type="dxa"/>
            <w:gridSpan w:val="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住院静配中心系统</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6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13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567"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657"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524" w:type="dxa"/>
        </w:trPr>
        <w:tc>
          <w:tcPr>
            <w:tcW w:w="597" w:type="dxa"/>
            <w:vMerge w:val="continue"/>
            <w:tcBorders>
              <w:top w:val="nil"/>
              <w:left w:val="single" w:color="000000" w:sz="4" w:space="0"/>
              <w:bottom w:val="single" w:color="000000" w:sz="4" w:space="0"/>
              <w:right w:val="single" w:color="000000" w:sz="4" w:space="0"/>
            </w:tcBorders>
          </w:tcPr>
          <w:p/>
        </w:tc>
        <w:tc>
          <w:tcPr>
            <w:tcW w:w="672" w:type="dxa"/>
            <w:vMerge w:val="continue"/>
            <w:tcBorders>
              <w:top w:val="nil"/>
              <w:left w:val="nil"/>
              <w:bottom w:val="single" w:color="000000" w:sz="4" w:space="0"/>
              <w:right w:val="single" w:color="000000" w:sz="4" w:space="0"/>
            </w:tcBorders>
          </w:tcPr>
          <w:p/>
        </w:tc>
        <w:tc>
          <w:tcPr>
            <w:tcW w:w="2159" w:type="dxa"/>
            <w:gridSpan w:val="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住院准备中心系统</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6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13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567"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657"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524" w:type="dxa"/>
        </w:trPr>
        <w:tc>
          <w:tcPr>
            <w:tcW w:w="597" w:type="dxa"/>
            <w:vMerge w:val="restart"/>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4</w:t>
            </w:r>
          </w:p>
        </w:tc>
        <w:tc>
          <w:tcPr>
            <w:tcW w:w="672" w:type="dxa"/>
            <w:vMerge w:val="restart"/>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药品管理</w:t>
            </w:r>
          </w:p>
        </w:tc>
        <w:tc>
          <w:tcPr>
            <w:tcW w:w="2159" w:type="dxa"/>
            <w:gridSpan w:val="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门急诊药房管理系统</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6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13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567"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657"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524" w:type="dxa"/>
        </w:trPr>
        <w:tc>
          <w:tcPr>
            <w:tcW w:w="597" w:type="dxa"/>
            <w:vMerge w:val="continue"/>
            <w:tcBorders>
              <w:top w:val="nil"/>
              <w:left w:val="single" w:color="000000" w:sz="4" w:space="0"/>
              <w:bottom w:val="single" w:color="000000" w:sz="4" w:space="0"/>
              <w:right w:val="single" w:color="000000" w:sz="4" w:space="0"/>
            </w:tcBorders>
          </w:tcPr>
          <w:p/>
        </w:tc>
        <w:tc>
          <w:tcPr>
            <w:tcW w:w="672" w:type="dxa"/>
            <w:vMerge w:val="continue"/>
            <w:tcBorders>
              <w:top w:val="nil"/>
              <w:left w:val="nil"/>
              <w:bottom w:val="single" w:color="000000" w:sz="4" w:space="0"/>
              <w:right w:val="single" w:color="000000" w:sz="4" w:space="0"/>
            </w:tcBorders>
          </w:tcPr>
          <w:p/>
        </w:tc>
        <w:tc>
          <w:tcPr>
            <w:tcW w:w="2159" w:type="dxa"/>
            <w:gridSpan w:val="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住院药房管理系统</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6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13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567"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657"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524" w:type="dxa"/>
        </w:trPr>
        <w:tc>
          <w:tcPr>
            <w:tcW w:w="597" w:type="dxa"/>
            <w:vMerge w:val="continue"/>
            <w:tcBorders>
              <w:top w:val="nil"/>
              <w:left w:val="single" w:color="000000" w:sz="4" w:space="0"/>
              <w:bottom w:val="single" w:color="000000" w:sz="4" w:space="0"/>
              <w:right w:val="single" w:color="000000" w:sz="4" w:space="0"/>
            </w:tcBorders>
          </w:tcPr>
          <w:p/>
        </w:tc>
        <w:tc>
          <w:tcPr>
            <w:tcW w:w="672" w:type="dxa"/>
            <w:vMerge w:val="continue"/>
            <w:tcBorders>
              <w:top w:val="nil"/>
              <w:left w:val="nil"/>
              <w:bottom w:val="single" w:color="000000" w:sz="4" w:space="0"/>
              <w:right w:val="single" w:color="000000" w:sz="4" w:space="0"/>
            </w:tcBorders>
          </w:tcPr>
          <w:p/>
        </w:tc>
        <w:tc>
          <w:tcPr>
            <w:tcW w:w="2159" w:type="dxa"/>
            <w:gridSpan w:val="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药库管理系统</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6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13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567"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657"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524" w:type="dxa"/>
        </w:trPr>
        <w:tc>
          <w:tcPr>
            <w:tcW w:w="597" w:type="dxa"/>
            <w:vMerge w:val="restart"/>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5</w:t>
            </w:r>
          </w:p>
        </w:tc>
        <w:tc>
          <w:tcPr>
            <w:tcW w:w="672" w:type="dxa"/>
            <w:vMerge w:val="restart"/>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电子病历</w:t>
            </w:r>
          </w:p>
        </w:tc>
        <w:tc>
          <w:tcPr>
            <w:tcW w:w="2159" w:type="dxa"/>
            <w:gridSpan w:val="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结构化病历编辑器</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6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13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567"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657"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524" w:type="dxa"/>
        </w:trPr>
        <w:tc>
          <w:tcPr>
            <w:tcW w:w="597" w:type="dxa"/>
            <w:vMerge w:val="continue"/>
            <w:tcBorders>
              <w:top w:val="nil"/>
              <w:left w:val="single" w:color="000000" w:sz="4" w:space="0"/>
              <w:bottom w:val="single" w:color="000000" w:sz="4" w:space="0"/>
              <w:right w:val="single" w:color="000000" w:sz="4" w:space="0"/>
            </w:tcBorders>
          </w:tcPr>
          <w:p/>
        </w:tc>
        <w:tc>
          <w:tcPr>
            <w:tcW w:w="672" w:type="dxa"/>
            <w:vMerge w:val="continue"/>
            <w:tcBorders>
              <w:top w:val="nil"/>
              <w:left w:val="nil"/>
              <w:bottom w:val="single" w:color="000000" w:sz="4" w:space="0"/>
              <w:right w:val="single" w:color="000000" w:sz="4" w:space="0"/>
            </w:tcBorders>
          </w:tcPr>
          <w:p/>
        </w:tc>
        <w:tc>
          <w:tcPr>
            <w:tcW w:w="2159" w:type="dxa"/>
            <w:gridSpan w:val="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门（急）诊电子病历系统</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6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13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567"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657"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524" w:type="dxa"/>
        </w:trPr>
        <w:tc>
          <w:tcPr>
            <w:tcW w:w="597" w:type="dxa"/>
            <w:vMerge w:val="continue"/>
            <w:tcBorders>
              <w:top w:val="nil"/>
              <w:left w:val="single" w:color="000000" w:sz="4" w:space="0"/>
              <w:bottom w:val="single" w:color="000000" w:sz="4" w:space="0"/>
              <w:right w:val="single" w:color="000000" w:sz="4" w:space="0"/>
            </w:tcBorders>
          </w:tcPr>
          <w:p/>
        </w:tc>
        <w:tc>
          <w:tcPr>
            <w:tcW w:w="672" w:type="dxa"/>
            <w:vMerge w:val="continue"/>
            <w:tcBorders>
              <w:top w:val="nil"/>
              <w:left w:val="nil"/>
              <w:bottom w:val="single" w:color="000000" w:sz="4" w:space="0"/>
              <w:right w:val="single" w:color="000000" w:sz="4" w:space="0"/>
            </w:tcBorders>
          </w:tcPr>
          <w:p/>
        </w:tc>
        <w:tc>
          <w:tcPr>
            <w:tcW w:w="2159" w:type="dxa"/>
            <w:gridSpan w:val="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住院电子病历系统</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6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13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567"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657"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524" w:type="dxa"/>
        </w:trPr>
        <w:tc>
          <w:tcPr>
            <w:tcW w:w="597" w:type="dxa"/>
            <w:vMerge w:val="continue"/>
            <w:tcBorders>
              <w:top w:val="nil"/>
              <w:left w:val="single" w:color="000000" w:sz="4" w:space="0"/>
              <w:bottom w:val="single" w:color="000000" w:sz="4" w:space="0"/>
              <w:right w:val="single" w:color="000000" w:sz="4" w:space="0"/>
            </w:tcBorders>
          </w:tcPr>
          <w:p/>
        </w:tc>
        <w:tc>
          <w:tcPr>
            <w:tcW w:w="672" w:type="dxa"/>
            <w:vMerge w:val="continue"/>
            <w:tcBorders>
              <w:top w:val="nil"/>
              <w:left w:val="nil"/>
              <w:bottom w:val="single" w:color="000000" w:sz="4" w:space="0"/>
              <w:right w:val="single" w:color="000000" w:sz="4" w:space="0"/>
            </w:tcBorders>
          </w:tcPr>
          <w:p/>
        </w:tc>
        <w:tc>
          <w:tcPr>
            <w:tcW w:w="2159" w:type="dxa"/>
            <w:gridSpan w:val="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护理电子病历系统</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6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13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567"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657"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524" w:type="dxa"/>
        </w:trPr>
        <w:tc>
          <w:tcPr>
            <w:tcW w:w="597" w:type="dxa"/>
            <w:vMerge w:val="continue"/>
            <w:tcBorders>
              <w:top w:val="nil"/>
              <w:left w:val="single" w:color="000000" w:sz="4" w:space="0"/>
              <w:bottom w:val="single" w:color="000000" w:sz="4" w:space="0"/>
              <w:right w:val="single" w:color="000000" w:sz="4" w:space="0"/>
            </w:tcBorders>
          </w:tcPr>
          <w:p/>
        </w:tc>
        <w:tc>
          <w:tcPr>
            <w:tcW w:w="672" w:type="dxa"/>
            <w:vMerge w:val="continue"/>
            <w:tcBorders>
              <w:top w:val="nil"/>
              <w:left w:val="nil"/>
              <w:bottom w:val="single" w:color="000000" w:sz="4" w:space="0"/>
              <w:right w:val="single" w:color="000000" w:sz="4" w:space="0"/>
            </w:tcBorders>
          </w:tcPr>
          <w:p/>
        </w:tc>
        <w:tc>
          <w:tcPr>
            <w:tcW w:w="2159" w:type="dxa"/>
            <w:gridSpan w:val="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电子病历质控系统</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6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13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567"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657"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524" w:type="dxa"/>
        </w:trPr>
        <w:tc>
          <w:tcPr>
            <w:tcW w:w="597" w:type="dxa"/>
            <w:vMerge w:val="restart"/>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6</w:t>
            </w:r>
          </w:p>
        </w:tc>
        <w:tc>
          <w:tcPr>
            <w:tcW w:w="672" w:type="dxa"/>
            <w:vMerge w:val="restart"/>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医技管理</w:t>
            </w:r>
          </w:p>
        </w:tc>
        <w:tc>
          <w:tcPr>
            <w:tcW w:w="2159" w:type="dxa"/>
            <w:gridSpan w:val="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医技计费管理系统</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6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13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567"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657"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524" w:type="dxa"/>
        </w:trPr>
        <w:tc>
          <w:tcPr>
            <w:tcW w:w="597" w:type="dxa"/>
            <w:vMerge w:val="continue"/>
            <w:tcBorders>
              <w:top w:val="nil"/>
              <w:left w:val="single" w:color="000000" w:sz="4" w:space="0"/>
              <w:bottom w:val="single" w:color="000000" w:sz="4" w:space="0"/>
              <w:right w:val="single" w:color="000000" w:sz="4" w:space="0"/>
            </w:tcBorders>
          </w:tcPr>
          <w:p/>
        </w:tc>
        <w:tc>
          <w:tcPr>
            <w:tcW w:w="672" w:type="dxa"/>
            <w:vMerge w:val="continue"/>
            <w:tcBorders>
              <w:top w:val="nil"/>
              <w:left w:val="nil"/>
              <w:bottom w:val="single" w:color="000000" w:sz="4" w:space="0"/>
              <w:right w:val="single" w:color="000000" w:sz="4" w:space="0"/>
            </w:tcBorders>
          </w:tcPr>
          <w:p/>
        </w:tc>
        <w:tc>
          <w:tcPr>
            <w:tcW w:w="2159" w:type="dxa"/>
            <w:gridSpan w:val="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手术计费管理系统</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6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13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567"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657"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524" w:type="dxa"/>
        </w:trPr>
        <w:tc>
          <w:tcPr>
            <w:tcW w:w="597" w:type="dxa"/>
            <w:vMerge w:val="continue"/>
            <w:tcBorders>
              <w:top w:val="nil"/>
              <w:left w:val="single" w:color="000000" w:sz="4" w:space="0"/>
              <w:bottom w:val="single" w:color="000000" w:sz="4" w:space="0"/>
              <w:right w:val="single" w:color="000000" w:sz="4" w:space="0"/>
            </w:tcBorders>
          </w:tcPr>
          <w:p/>
        </w:tc>
        <w:tc>
          <w:tcPr>
            <w:tcW w:w="672" w:type="dxa"/>
            <w:vMerge w:val="continue"/>
            <w:tcBorders>
              <w:top w:val="nil"/>
              <w:left w:val="nil"/>
              <w:bottom w:val="single" w:color="000000" w:sz="4" w:space="0"/>
              <w:right w:val="single" w:color="000000" w:sz="4" w:space="0"/>
            </w:tcBorders>
          </w:tcPr>
          <w:p/>
        </w:tc>
        <w:tc>
          <w:tcPr>
            <w:tcW w:w="2159" w:type="dxa"/>
            <w:gridSpan w:val="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体检系统</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6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13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567"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657"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524" w:type="dxa"/>
        </w:trPr>
        <w:tc>
          <w:tcPr>
            <w:tcW w:w="597" w:type="dxa"/>
            <w:vMerge w:val="continue"/>
            <w:tcBorders>
              <w:top w:val="nil"/>
              <w:left w:val="single" w:color="000000" w:sz="4" w:space="0"/>
              <w:bottom w:val="single" w:color="000000" w:sz="4" w:space="0"/>
              <w:right w:val="single" w:color="000000" w:sz="4" w:space="0"/>
            </w:tcBorders>
          </w:tcPr>
          <w:p/>
        </w:tc>
        <w:tc>
          <w:tcPr>
            <w:tcW w:w="672" w:type="dxa"/>
            <w:vMerge w:val="continue"/>
            <w:tcBorders>
              <w:top w:val="nil"/>
              <w:left w:val="nil"/>
              <w:bottom w:val="single" w:color="000000" w:sz="4" w:space="0"/>
              <w:right w:val="single" w:color="000000" w:sz="4" w:space="0"/>
            </w:tcBorders>
          </w:tcPr>
          <w:p/>
        </w:tc>
        <w:tc>
          <w:tcPr>
            <w:tcW w:w="2159" w:type="dxa"/>
            <w:gridSpan w:val="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治疗管理系统</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6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13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567"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657"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524" w:type="dxa"/>
        </w:trPr>
        <w:tc>
          <w:tcPr>
            <w:tcW w:w="597" w:type="dxa"/>
            <w:vMerge w:val="restart"/>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7</w:t>
            </w:r>
          </w:p>
        </w:tc>
        <w:tc>
          <w:tcPr>
            <w:tcW w:w="672" w:type="dxa"/>
            <w:vMerge w:val="restart"/>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医疗管理</w:t>
            </w:r>
          </w:p>
        </w:tc>
        <w:tc>
          <w:tcPr>
            <w:tcW w:w="2159" w:type="dxa"/>
            <w:gridSpan w:val="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会诊管理系统</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6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13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567"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657"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524" w:type="dxa"/>
        </w:trPr>
        <w:tc>
          <w:tcPr>
            <w:tcW w:w="597" w:type="dxa"/>
            <w:vMerge w:val="continue"/>
            <w:tcBorders>
              <w:top w:val="nil"/>
              <w:left w:val="single" w:color="000000" w:sz="4" w:space="0"/>
              <w:bottom w:val="single" w:color="000000" w:sz="4" w:space="0"/>
              <w:right w:val="single" w:color="000000" w:sz="4" w:space="0"/>
            </w:tcBorders>
          </w:tcPr>
          <w:p/>
        </w:tc>
        <w:tc>
          <w:tcPr>
            <w:tcW w:w="672" w:type="dxa"/>
            <w:vMerge w:val="continue"/>
            <w:tcBorders>
              <w:top w:val="nil"/>
              <w:left w:val="nil"/>
              <w:bottom w:val="single" w:color="000000" w:sz="4" w:space="0"/>
              <w:right w:val="single" w:color="000000" w:sz="4" w:space="0"/>
            </w:tcBorders>
          </w:tcPr>
          <w:p/>
        </w:tc>
        <w:tc>
          <w:tcPr>
            <w:tcW w:w="2159" w:type="dxa"/>
            <w:gridSpan w:val="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皮试管理系统</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6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13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567"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657"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524" w:type="dxa"/>
        </w:trPr>
        <w:tc>
          <w:tcPr>
            <w:tcW w:w="597" w:type="dxa"/>
            <w:vMerge w:val="continue"/>
            <w:tcBorders>
              <w:top w:val="nil"/>
              <w:left w:val="single" w:color="000000" w:sz="4" w:space="0"/>
              <w:bottom w:val="single" w:color="000000" w:sz="4" w:space="0"/>
              <w:right w:val="single" w:color="000000" w:sz="4" w:space="0"/>
            </w:tcBorders>
          </w:tcPr>
          <w:p/>
        </w:tc>
        <w:tc>
          <w:tcPr>
            <w:tcW w:w="672" w:type="dxa"/>
            <w:vMerge w:val="continue"/>
            <w:tcBorders>
              <w:top w:val="nil"/>
              <w:left w:val="nil"/>
              <w:bottom w:val="single" w:color="000000" w:sz="4" w:space="0"/>
              <w:right w:val="single" w:color="000000" w:sz="4" w:space="0"/>
            </w:tcBorders>
          </w:tcPr>
          <w:p/>
        </w:tc>
        <w:tc>
          <w:tcPr>
            <w:tcW w:w="2159" w:type="dxa"/>
            <w:gridSpan w:val="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消息管理平台子系统</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6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13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567"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657"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524" w:type="dxa"/>
        </w:trPr>
        <w:tc>
          <w:tcPr>
            <w:tcW w:w="597" w:type="dxa"/>
            <w:vMerge w:val="continue"/>
            <w:tcBorders>
              <w:top w:val="nil"/>
              <w:left w:val="single" w:color="000000" w:sz="4" w:space="0"/>
              <w:bottom w:val="single" w:color="000000" w:sz="4" w:space="0"/>
              <w:right w:val="single" w:color="000000" w:sz="4" w:space="0"/>
            </w:tcBorders>
          </w:tcPr>
          <w:p/>
        </w:tc>
        <w:tc>
          <w:tcPr>
            <w:tcW w:w="672" w:type="dxa"/>
            <w:vMerge w:val="continue"/>
            <w:tcBorders>
              <w:top w:val="nil"/>
              <w:left w:val="nil"/>
              <w:bottom w:val="single" w:color="000000" w:sz="4" w:space="0"/>
              <w:right w:val="single" w:color="000000" w:sz="4" w:space="0"/>
            </w:tcBorders>
          </w:tcPr>
          <w:p/>
        </w:tc>
        <w:tc>
          <w:tcPr>
            <w:tcW w:w="2159" w:type="dxa"/>
            <w:gridSpan w:val="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临床路径管理系统</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6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13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567"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657"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524" w:type="dxa"/>
        </w:trPr>
        <w:tc>
          <w:tcPr>
            <w:tcW w:w="597" w:type="dxa"/>
            <w:vMerge w:val="continue"/>
            <w:tcBorders>
              <w:top w:val="nil"/>
              <w:left w:val="single" w:color="000000" w:sz="4" w:space="0"/>
              <w:bottom w:val="single" w:color="000000" w:sz="4" w:space="0"/>
              <w:right w:val="single" w:color="000000" w:sz="4" w:space="0"/>
            </w:tcBorders>
          </w:tcPr>
          <w:p/>
        </w:tc>
        <w:tc>
          <w:tcPr>
            <w:tcW w:w="672" w:type="dxa"/>
            <w:vMerge w:val="continue"/>
            <w:tcBorders>
              <w:top w:val="nil"/>
              <w:left w:val="nil"/>
              <w:bottom w:val="single" w:color="000000" w:sz="4" w:space="0"/>
              <w:right w:val="single" w:color="000000" w:sz="4" w:space="0"/>
            </w:tcBorders>
          </w:tcPr>
          <w:p/>
        </w:tc>
        <w:tc>
          <w:tcPr>
            <w:tcW w:w="2159" w:type="dxa"/>
            <w:gridSpan w:val="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院感管理系统</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6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13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567"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657"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524" w:type="dxa"/>
        </w:trPr>
        <w:tc>
          <w:tcPr>
            <w:tcW w:w="597" w:type="dxa"/>
            <w:vMerge w:val="continue"/>
            <w:tcBorders>
              <w:top w:val="nil"/>
              <w:left w:val="single" w:color="000000" w:sz="4" w:space="0"/>
              <w:bottom w:val="single" w:color="000000" w:sz="4" w:space="0"/>
              <w:right w:val="single" w:color="000000" w:sz="4" w:space="0"/>
            </w:tcBorders>
          </w:tcPr>
          <w:p/>
        </w:tc>
        <w:tc>
          <w:tcPr>
            <w:tcW w:w="672" w:type="dxa"/>
            <w:vMerge w:val="continue"/>
            <w:tcBorders>
              <w:top w:val="nil"/>
              <w:left w:val="nil"/>
              <w:bottom w:val="single" w:color="000000" w:sz="4" w:space="0"/>
              <w:right w:val="single" w:color="000000" w:sz="4" w:space="0"/>
            </w:tcBorders>
          </w:tcPr>
          <w:p/>
        </w:tc>
        <w:tc>
          <w:tcPr>
            <w:tcW w:w="2159" w:type="dxa"/>
            <w:gridSpan w:val="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传染病管理上报系统</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6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13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567"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657"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524" w:type="dxa"/>
        </w:trPr>
        <w:tc>
          <w:tcPr>
            <w:tcW w:w="597" w:type="dxa"/>
            <w:vMerge w:val="continue"/>
            <w:tcBorders>
              <w:top w:val="nil"/>
              <w:left w:val="single" w:color="000000" w:sz="4" w:space="0"/>
              <w:bottom w:val="single" w:color="000000" w:sz="4" w:space="0"/>
              <w:right w:val="single" w:color="000000" w:sz="4" w:space="0"/>
            </w:tcBorders>
          </w:tcPr>
          <w:p/>
        </w:tc>
        <w:tc>
          <w:tcPr>
            <w:tcW w:w="672" w:type="dxa"/>
            <w:vMerge w:val="continue"/>
            <w:tcBorders>
              <w:top w:val="nil"/>
              <w:left w:val="nil"/>
              <w:bottom w:val="single" w:color="000000" w:sz="4" w:space="0"/>
              <w:right w:val="single" w:color="000000" w:sz="4" w:space="0"/>
            </w:tcBorders>
          </w:tcPr>
          <w:p/>
        </w:tc>
        <w:tc>
          <w:tcPr>
            <w:tcW w:w="2159" w:type="dxa"/>
            <w:gridSpan w:val="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医务管理系统</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6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13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567"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657"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524" w:type="dxa"/>
        </w:trPr>
        <w:tc>
          <w:tcPr>
            <w:tcW w:w="597" w:type="dxa"/>
            <w:vMerge w:val="continue"/>
            <w:tcBorders>
              <w:top w:val="nil"/>
              <w:left w:val="single" w:color="000000" w:sz="4" w:space="0"/>
              <w:bottom w:val="single" w:color="000000" w:sz="4" w:space="0"/>
              <w:right w:val="single" w:color="000000" w:sz="4" w:space="0"/>
            </w:tcBorders>
          </w:tcPr>
          <w:p/>
        </w:tc>
        <w:tc>
          <w:tcPr>
            <w:tcW w:w="672" w:type="dxa"/>
            <w:vMerge w:val="continue"/>
            <w:tcBorders>
              <w:top w:val="nil"/>
              <w:left w:val="nil"/>
              <w:bottom w:val="single" w:color="000000" w:sz="4" w:space="0"/>
              <w:right w:val="single" w:color="000000" w:sz="4" w:space="0"/>
            </w:tcBorders>
          </w:tcPr>
          <w:p/>
        </w:tc>
        <w:tc>
          <w:tcPr>
            <w:tcW w:w="2159" w:type="dxa"/>
            <w:gridSpan w:val="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护理管理系统</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6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13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567"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657"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524" w:type="dxa"/>
        </w:trPr>
        <w:tc>
          <w:tcPr>
            <w:tcW w:w="597" w:type="dxa"/>
            <w:vMerge w:val="continue"/>
            <w:tcBorders>
              <w:top w:val="nil"/>
              <w:left w:val="single" w:color="000000" w:sz="4" w:space="0"/>
              <w:bottom w:val="single" w:color="000000" w:sz="4" w:space="0"/>
              <w:right w:val="single" w:color="000000" w:sz="4" w:space="0"/>
            </w:tcBorders>
          </w:tcPr>
          <w:p/>
        </w:tc>
        <w:tc>
          <w:tcPr>
            <w:tcW w:w="672" w:type="dxa"/>
            <w:vMerge w:val="continue"/>
            <w:tcBorders>
              <w:top w:val="nil"/>
              <w:left w:val="nil"/>
              <w:bottom w:val="single" w:color="000000" w:sz="4" w:space="0"/>
              <w:right w:val="single" w:color="000000" w:sz="4" w:space="0"/>
            </w:tcBorders>
          </w:tcPr>
          <w:p/>
        </w:tc>
        <w:tc>
          <w:tcPr>
            <w:tcW w:w="2159" w:type="dxa"/>
            <w:gridSpan w:val="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护理质量管理系统</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6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13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567"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657"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524" w:type="dxa"/>
        </w:trPr>
        <w:tc>
          <w:tcPr>
            <w:tcW w:w="597" w:type="dxa"/>
            <w:vMerge w:val="continue"/>
            <w:tcBorders>
              <w:top w:val="nil"/>
              <w:left w:val="single" w:color="000000" w:sz="4" w:space="0"/>
              <w:bottom w:val="single" w:color="000000" w:sz="4" w:space="0"/>
              <w:right w:val="single" w:color="000000" w:sz="4" w:space="0"/>
            </w:tcBorders>
          </w:tcPr>
          <w:p/>
        </w:tc>
        <w:tc>
          <w:tcPr>
            <w:tcW w:w="672" w:type="dxa"/>
            <w:vMerge w:val="continue"/>
            <w:tcBorders>
              <w:top w:val="nil"/>
              <w:left w:val="nil"/>
              <w:bottom w:val="single" w:color="000000" w:sz="4" w:space="0"/>
              <w:right w:val="single" w:color="000000" w:sz="4" w:space="0"/>
            </w:tcBorders>
          </w:tcPr>
          <w:p/>
        </w:tc>
        <w:tc>
          <w:tcPr>
            <w:tcW w:w="2159" w:type="dxa"/>
            <w:gridSpan w:val="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单病种上报管理系统</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6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13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567"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657"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524" w:type="dxa"/>
        </w:trPr>
        <w:tc>
          <w:tcPr>
            <w:tcW w:w="597" w:type="dxa"/>
            <w:vMerge w:val="continue"/>
            <w:tcBorders>
              <w:top w:val="nil"/>
              <w:left w:val="single" w:color="000000" w:sz="4" w:space="0"/>
              <w:bottom w:val="single" w:color="000000" w:sz="4" w:space="0"/>
              <w:right w:val="single" w:color="000000" w:sz="4" w:space="0"/>
            </w:tcBorders>
          </w:tcPr>
          <w:p/>
        </w:tc>
        <w:tc>
          <w:tcPr>
            <w:tcW w:w="672" w:type="dxa"/>
            <w:vMerge w:val="continue"/>
            <w:tcBorders>
              <w:top w:val="nil"/>
              <w:left w:val="nil"/>
              <w:bottom w:val="single" w:color="000000" w:sz="4" w:space="0"/>
              <w:right w:val="single" w:color="000000" w:sz="4" w:space="0"/>
            </w:tcBorders>
          </w:tcPr>
          <w:p/>
        </w:tc>
        <w:tc>
          <w:tcPr>
            <w:tcW w:w="2159" w:type="dxa"/>
            <w:gridSpan w:val="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过程质量监测与评价系统</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6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13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567"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657"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524" w:type="dxa"/>
        </w:trPr>
        <w:tc>
          <w:tcPr>
            <w:tcW w:w="597" w:type="dxa"/>
            <w:vMerge w:val="continue"/>
            <w:tcBorders>
              <w:top w:val="nil"/>
              <w:left w:val="single" w:color="000000" w:sz="4" w:space="0"/>
              <w:bottom w:val="single" w:color="000000" w:sz="4" w:space="0"/>
              <w:right w:val="single" w:color="000000" w:sz="4" w:space="0"/>
            </w:tcBorders>
          </w:tcPr>
          <w:p/>
        </w:tc>
        <w:tc>
          <w:tcPr>
            <w:tcW w:w="672" w:type="dxa"/>
            <w:vMerge w:val="continue"/>
            <w:tcBorders>
              <w:top w:val="nil"/>
              <w:left w:val="nil"/>
              <w:bottom w:val="single" w:color="000000" w:sz="4" w:space="0"/>
              <w:right w:val="single" w:color="000000" w:sz="4" w:space="0"/>
            </w:tcBorders>
          </w:tcPr>
          <w:p/>
        </w:tc>
        <w:tc>
          <w:tcPr>
            <w:tcW w:w="2159" w:type="dxa"/>
            <w:gridSpan w:val="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抗菌药物管理系统</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6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13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567"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657"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524" w:type="dxa"/>
        </w:trPr>
        <w:tc>
          <w:tcPr>
            <w:tcW w:w="597" w:type="dxa"/>
            <w:vMerge w:val="continue"/>
            <w:tcBorders>
              <w:top w:val="nil"/>
              <w:left w:val="single" w:color="000000" w:sz="4" w:space="0"/>
              <w:bottom w:val="single" w:color="000000" w:sz="4" w:space="0"/>
              <w:right w:val="single" w:color="000000" w:sz="4" w:space="0"/>
            </w:tcBorders>
          </w:tcPr>
          <w:p/>
        </w:tc>
        <w:tc>
          <w:tcPr>
            <w:tcW w:w="672" w:type="dxa"/>
            <w:vMerge w:val="continue"/>
            <w:tcBorders>
              <w:top w:val="nil"/>
              <w:left w:val="nil"/>
              <w:bottom w:val="single" w:color="000000" w:sz="4" w:space="0"/>
              <w:right w:val="single" w:color="000000" w:sz="4" w:space="0"/>
            </w:tcBorders>
          </w:tcPr>
          <w:p/>
        </w:tc>
        <w:tc>
          <w:tcPr>
            <w:tcW w:w="2159" w:type="dxa"/>
            <w:gridSpan w:val="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住院病案首页质量控制系统</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6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13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567"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657"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524" w:type="dxa"/>
        </w:trPr>
        <w:tc>
          <w:tcPr>
            <w:tcW w:w="597" w:type="dxa"/>
            <w:vMerge w:val="continue"/>
            <w:tcBorders>
              <w:top w:val="nil"/>
              <w:left w:val="single" w:color="000000" w:sz="4" w:space="0"/>
              <w:bottom w:val="single" w:color="000000" w:sz="4" w:space="0"/>
              <w:right w:val="single" w:color="000000" w:sz="4" w:space="0"/>
            </w:tcBorders>
          </w:tcPr>
          <w:p/>
        </w:tc>
        <w:tc>
          <w:tcPr>
            <w:tcW w:w="672" w:type="dxa"/>
            <w:vMerge w:val="continue"/>
            <w:tcBorders>
              <w:top w:val="nil"/>
              <w:left w:val="nil"/>
              <w:bottom w:val="single" w:color="000000" w:sz="4" w:space="0"/>
              <w:right w:val="single" w:color="000000" w:sz="4" w:space="0"/>
            </w:tcBorders>
          </w:tcPr>
          <w:p/>
        </w:tc>
        <w:tc>
          <w:tcPr>
            <w:tcW w:w="2159" w:type="dxa"/>
            <w:gridSpan w:val="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统一叫号系统</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6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13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567"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657"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524" w:type="dxa"/>
        </w:trPr>
        <w:tc>
          <w:tcPr>
            <w:tcW w:w="597" w:type="dxa"/>
            <w:vMerge w:val="continue"/>
            <w:tcBorders>
              <w:top w:val="nil"/>
              <w:left w:val="single" w:color="000000" w:sz="4" w:space="0"/>
              <w:bottom w:val="single" w:color="000000" w:sz="4" w:space="0"/>
              <w:right w:val="single" w:color="000000" w:sz="4" w:space="0"/>
            </w:tcBorders>
          </w:tcPr>
          <w:p/>
        </w:tc>
        <w:tc>
          <w:tcPr>
            <w:tcW w:w="672" w:type="dxa"/>
            <w:vMerge w:val="continue"/>
            <w:tcBorders>
              <w:top w:val="nil"/>
              <w:left w:val="nil"/>
              <w:bottom w:val="single" w:color="000000" w:sz="4" w:space="0"/>
              <w:right w:val="single" w:color="000000" w:sz="4" w:space="0"/>
            </w:tcBorders>
          </w:tcPr>
          <w:p/>
        </w:tc>
        <w:tc>
          <w:tcPr>
            <w:tcW w:w="2159" w:type="dxa"/>
            <w:gridSpan w:val="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疾病上报管理系统</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6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13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567"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657"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524" w:type="dxa"/>
        </w:trPr>
        <w:tc>
          <w:tcPr>
            <w:tcW w:w="597" w:type="dxa"/>
            <w:vMerge w:val="restart"/>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8</w:t>
            </w:r>
          </w:p>
        </w:tc>
        <w:tc>
          <w:tcPr>
            <w:tcW w:w="672" w:type="dxa"/>
            <w:vMerge w:val="restart"/>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财务管理</w:t>
            </w:r>
          </w:p>
        </w:tc>
        <w:tc>
          <w:tcPr>
            <w:tcW w:w="2159" w:type="dxa"/>
            <w:gridSpan w:val="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人力资源管理系统</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6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13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567"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657"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524" w:type="dxa"/>
        </w:trPr>
        <w:tc>
          <w:tcPr>
            <w:tcW w:w="597" w:type="dxa"/>
            <w:vMerge w:val="continue"/>
            <w:tcBorders>
              <w:top w:val="nil"/>
              <w:left w:val="single" w:color="000000" w:sz="4" w:space="0"/>
              <w:bottom w:val="single" w:color="000000" w:sz="4" w:space="0"/>
              <w:right w:val="single" w:color="000000" w:sz="4" w:space="0"/>
            </w:tcBorders>
          </w:tcPr>
          <w:p/>
        </w:tc>
        <w:tc>
          <w:tcPr>
            <w:tcW w:w="672" w:type="dxa"/>
            <w:vMerge w:val="continue"/>
            <w:tcBorders>
              <w:top w:val="nil"/>
              <w:left w:val="nil"/>
              <w:bottom w:val="single" w:color="000000" w:sz="4" w:space="0"/>
              <w:right w:val="single" w:color="000000" w:sz="4" w:space="0"/>
            </w:tcBorders>
          </w:tcPr>
          <w:p/>
        </w:tc>
        <w:tc>
          <w:tcPr>
            <w:tcW w:w="2159" w:type="dxa"/>
            <w:gridSpan w:val="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财务票据管理</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6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13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567"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657"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524" w:type="dxa"/>
        </w:trPr>
        <w:tc>
          <w:tcPr>
            <w:tcW w:w="597" w:type="dxa"/>
            <w:vMerge w:val="continue"/>
            <w:tcBorders>
              <w:top w:val="nil"/>
              <w:left w:val="single" w:color="000000" w:sz="4" w:space="0"/>
              <w:bottom w:val="single" w:color="000000" w:sz="4" w:space="0"/>
              <w:right w:val="single" w:color="000000" w:sz="4" w:space="0"/>
            </w:tcBorders>
          </w:tcPr>
          <w:p/>
        </w:tc>
        <w:tc>
          <w:tcPr>
            <w:tcW w:w="672" w:type="dxa"/>
            <w:vMerge w:val="continue"/>
            <w:tcBorders>
              <w:top w:val="nil"/>
              <w:left w:val="nil"/>
              <w:bottom w:val="single" w:color="000000" w:sz="4" w:space="0"/>
              <w:right w:val="single" w:color="000000" w:sz="4" w:space="0"/>
            </w:tcBorders>
          </w:tcPr>
          <w:p/>
        </w:tc>
        <w:tc>
          <w:tcPr>
            <w:tcW w:w="2159" w:type="dxa"/>
            <w:gridSpan w:val="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成本核算管理系统</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6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13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567"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657"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524" w:type="dxa"/>
        </w:trPr>
        <w:tc>
          <w:tcPr>
            <w:tcW w:w="597" w:type="dxa"/>
            <w:vMerge w:val="continue"/>
            <w:tcBorders>
              <w:top w:val="nil"/>
              <w:left w:val="single" w:color="000000" w:sz="4" w:space="0"/>
              <w:bottom w:val="single" w:color="000000" w:sz="4" w:space="0"/>
              <w:right w:val="single" w:color="000000" w:sz="4" w:space="0"/>
            </w:tcBorders>
          </w:tcPr>
          <w:p/>
        </w:tc>
        <w:tc>
          <w:tcPr>
            <w:tcW w:w="672" w:type="dxa"/>
            <w:vMerge w:val="continue"/>
            <w:tcBorders>
              <w:top w:val="nil"/>
              <w:left w:val="nil"/>
              <w:bottom w:val="single" w:color="000000" w:sz="4" w:space="0"/>
              <w:right w:val="single" w:color="000000" w:sz="4" w:space="0"/>
            </w:tcBorders>
          </w:tcPr>
          <w:p/>
        </w:tc>
        <w:tc>
          <w:tcPr>
            <w:tcW w:w="2159" w:type="dxa"/>
            <w:gridSpan w:val="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会计核算系统</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6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13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567"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657"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524" w:type="dxa"/>
        </w:trPr>
        <w:tc>
          <w:tcPr>
            <w:tcW w:w="597" w:type="dxa"/>
            <w:vMerge w:val="continue"/>
            <w:tcBorders>
              <w:top w:val="nil"/>
              <w:left w:val="single" w:color="000000" w:sz="4" w:space="0"/>
              <w:bottom w:val="single" w:color="000000" w:sz="4" w:space="0"/>
              <w:right w:val="single" w:color="000000" w:sz="4" w:space="0"/>
            </w:tcBorders>
          </w:tcPr>
          <w:p/>
        </w:tc>
        <w:tc>
          <w:tcPr>
            <w:tcW w:w="672" w:type="dxa"/>
            <w:vMerge w:val="continue"/>
            <w:tcBorders>
              <w:top w:val="nil"/>
              <w:left w:val="nil"/>
              <w:bottom w:val="single" w:color="000000" w:sz="4" w:space="0"/>
              <w:right w:val="single" w:color="000000" w:sz="4" w:space="0"/>
            </w:tcBorders>
          </w:tcPr>
          <w:p/>
        </w:tc>
        <w:tc>
          <w:tcPr>
            <w:tcW w:w="2159" w:type="dxa"/>
            <w:gridSpan w:val="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固定资产管理系统</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6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13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567"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657"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524" w:type="dxa"/>
        </w:trPr>
        <w:tc>
          <w:tcPr>
            <w:tcW w:w="597" w:type="dxa"/>
            <w:vMerge w:val="continue"/>
            <w:tcBorders>
              <w:top w:val="nil"/>
              <w:left w:val="single" w:color="000000" w:sz="4" w:space="0"/>
              <w:bottom w:val="single" w:color="000000" w:sz="4" w:space="0"/>
              <w:right w:val="single" w:color="000000" w:sz="4" w:space="0"/>
            </w:tcBorders>
          </w:tcPr>
          <w:p/>
        </w:tc>
        <w:tc>
          <w:tcPr>
            <w:tcW w:w="672" w:type="dxa"/>
            <w:vMerge w:val="continue"/>
            <w:tcBorders>
              <w:top w:val="nil"/>
              <w:left w:val="nil"/>
              <w:bottom w:val="single" w:color="000000" w:sz="4" w:space="0"/>
              <w:right w:val="single" w:color="000000" w:sz="4" w:space="0"/>
            </w:tcBorders>
          </w:tcPr>
          <w:p/>
        </w:tc>
        <w:tc>
          <w:tcPr>
            <w:tcW w:w="2159" w:type="dxa"/>
            <w:gridSpan w:val="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物资管理系统</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6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13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567"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657"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524" w:type="dxa"/>
        </w:trPr>
        <w:tc>
          <w:tcPr>
            <w:tcW w:w="597" w:type="dxa"/>
            <w:vMerge w:val="continue"/>
            <w:tcBorders>
              <w:top w:val="nil"/>
              <w:left w:val="single" w:color="000000" w:sz="4" w:space="0"/>
              <w:bottom w:val="single" w:color="000000" w:sz="4" w:space="0"/>
              <w:right w:val="single" w:color="000000" w:sz="4" w:space="0"/>
            </w:tcBorders>
          </w:tcPr>
          <w:p/>
        </w:tc>
        <w:tc>
          <w:tcPr>
            <w:tcW w:w="672" w:type="dxa"/>
            <w:vMerge w:val="continue"/>
            <w:tcBorders>
              <w:top w:val="nil"/>
              <w:left w:val="nil"/>
              <w:bottom w:val="single" w:color="000000" w:sz="4" w:space="0"/>
              <w:right w:val="single" w:color="000000" w:sz="4" w:space="0"/>
            </w:tcBorders>
          </w:tcPr>
          <w:p/>
        </w:tc>
        <w:tc>
          <w:tcPr>
            <w:tcW w:w="2159" w:type="dxa"/>
            <w:gridSpan w:val="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综合查询系统</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6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13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567"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657"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524" w:type="dxa"/>
        </w:trPr>
        <w:tc>
          <w:tcPr>
            <w:tcW w:w="597" w:type="dxa"/>
            <w:vMerge w:val="restart"/>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9</w:t>
            </w:r>
          </w:p>
        </w:tc>
        <w:tc>
          <w:tcPr>
            <w:tcW w:w="672" w:type="dxa"/>
            <w:vMerge w:val="restart"/>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智慧药学</w:t>
            </w:r>
          </w:p>
        </w:tc>
        <w:tc>
          <w:tcPr>
            <w:tcW w:w="2159" w:type="dxa"/>
            <w:gridSpan w:val="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前置审方系统</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6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13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567"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657"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524" w:type="dxa"/>
        </w:trPr>
        <w:tc>
          <w:tcPr>
            <w:tcW w:w="597" w:type="dxa"/>
            <w:vMerge w:val="continue"/>
            <w:tcBorders>
              <w:top w:val="nil"/>
              <w:left w:val="single" w:color="000000" w:sz="4" w:space="0"/>
              <w:bottom w:val="single" w:color="000000" w:sz="4" w:space="0"/>
              <w:right w:val="single" w:color="000000" w:sz="4" w:space="0"/>
            </w:tcBorders>
          </w:tcPr>
          <w:p/>
        </w:tc>
        <w:tc>
          <w:tcPr>
            <w:tcW w:w="672" w:type="dxa"/>
            <w:vMerge w:val="continue"/>
            <w:tcBorders>
              <w:top w:val="nil"/>
              <w:left w:val="nil"/>
              <w:bottom w:val="single" w:color="000000" w:sz="4" w:space="0"/>
              <w:right w:val="single" w:color="000000" w:sz="4" w:space="0"/>
            </w:tcBorders>
          </w:tcPr>
          <w:p/>
        </w:tc>
        <w:tc>
          <w:tcPr>
            <w:tcW w:w="2159" w:type="dxa"/>
            <w:gridSpan w:val="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合理用药管理系统</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6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13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567"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657"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524" w:type="dxa"/>
        </w:trPr>
        <w:tc>
          <w:tcPr>
            <w:tcW w:w="597" w:type="dxa"/>
            <w:vMerge w:val="continue"/>
            <w:tcBorders>
              <w:top w:val="nil"/>
              <w:left w:val="single" w:color="000000" w:sz="4" w:space="0"/>
              <w:bottom w:val="single" w:color="000000" w:sz="4" w:space="0"/>
              <w:right w:val="single" w:color="000000" w:sz="4" w:space="0"/>
            </w:tcBorders>
          </w:tcPr>
          <w:p/>
        </w:tc>
        <w:tc>
          <w:tcPr>
            <w:tcW w:w="672" w:type="dxa"/>
            <w:vMerge w:val="continue"/>
            <w:tcBorders>
              <w:top w:val="nil"/>
              <w:left w:val="nil"/>
              <w:bottom w:val="single" w:color="000000" w:sz="4" w:space="0"/>
              <w:right w:val="single" w:color="000000" w:sz="4" w:space="0"/>
            </w:tcBorders>
          </w:tcPr>
          <w:p/>
        </w:tc>
        <w:tc>
          <w:tcPr>
            <w:tcW w:w="2159" w:type="dxa"/>
            <w:gridSpan w:val="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处方点评系统</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6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13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567"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657"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524" w:type="dxa"/>
        </w:trPr>
        <w:tc>
          <w:tcPr>
            <w:tcW w:w="597" w:type="dxa"/>
            <w:vMerge w:val="restart"/>
            <w:tcBorders>
              <w:top w:val="nil"/>
              <w:left w:val="single" w:color="000000" w:sz="4" w:space="0"/>
              <w:bottom w:val="nil"/>
              <w:right w:val="single" w:color="000000" w:sz="4" w:space="0"/>
            </w:tcBorders>
            <w:tcMar>
              <w:top w:w="15" w:type="dxa"/>
              <w:left w:w="15" w:type="dxa"/>
              <w:bottom w:w="0" w:type="dxa"/>
              <w:right w:w="15" w:type="dxa"/>
            </w:tcMar>
            <w:vAlign w:val="top"/>
          </w:tcPr>
          <w:p>
            <w:pPr>
              <w:pStyle w:val="4"/>
              <w:jc w:val="center"/>
            </w:pPr>
            <w:r>
              <w:rPr>
                <w:color w:val="000000"/>
                <w:sz w:val="21"/>
              </w:rPr>
              <w:t>10</w:t>
            </w:r>
          </w:p>
        </w:tc>
        <w:tc>
          <w:tcPr>
            <w:tcW w:w="672" w:type="dxa"/>
            <w:vMerge w:val="restart"/>
            <w:tcBorders>
              <w:top w:val="nil"/>
              <w:left w:val="nil"/>
              <w:bottom w:val="nil"/>
              <w:right w:val="single" w:color="000000" w:sz="4" w:space="0"/>
            </w:tcBorders>
            <w:tcMar>
              <w:top w:w="15" w:type="dxa"/>
              <w:left w:w="15" w:type="dxa"/>
              <w:bottom w:w="0" w:type="dxa"/>
              <w:right w:w="15" w:type="dxa"/>
            </w:tcMar>
            <w:vAlign w:val="top"/>
          </w:tcPr>
          <w:p>
            <w:pPr>
              <w:pStyle w:val="4"/>
              <w:jc w:val="center"/>
            </w:pPr>
            <w:r>
              <w:rPr>
                <w:color w:val="000000"/>
                <w:sz w:val="21"/>
              </w:rPr>
              <w:t>患者服务</w:t>
            </w:r>
          </w:p>
        </w:tc>
        <w:tc>
          <w:tcPr>
            <w:tcW w:w="2159" w:type="dxa"/>
            <w:gridSpan w:val="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全资源预约平台</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6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13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567"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657"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524" w:type="dxa"/>
        </w:trPr>
        <w:tc>
          <w:tcPr>
            <w:tcW w:w="597" w:type="dxa"/>
            <w:vMerge w:val="continue"/>
            <w:tcBorders>
              <w:top w:val="nil"/>
              <w:left w:val="single" w:color="000000" w:sz="4" w:space="0"/>
              <w:bottom w:val="nil"/>
              <w:right w:val="single" w:color="000000" w:sz="4" w:space="0"/>
            </w:tcBorders>
          </w:tcPr>
          <w:p/>
        </w:tc>
        <w:tc>
          <w:tcPr>
            <w:tcW w:w="672" w:type="dxa"/>
            <w:vMerge w:val="continue"/>
            <w:tcBorders>
              <w:top w:val="nil"/>
              <w:left w:val="nil"/>
              <w:bottom w:val="nil"/>
              <w:right w:val="single" w:color="000000" w:sz="4" w:space="0"/>
            </w:tcBorders>
          </w:tcPr>
          <w:p/>
        </w:tc>
        <w:tc>
          <w:tcPr>
            <w:tcW w:w="2159" w:type="dxa"/>
            <w:gridSpan w:val="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互联网医院系统</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6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13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567"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657"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524" w:type="dxa"/>
        </w:trPr>
        <w:tc>
          <w:tcPr>
            <w:tcW w:w="597" w:type="dxa"/>
            <w:vMerge w:val="continue"/>
            <w:tcBorders>
              <w:top w:val="nil"/>
              <w:left w:val="single" w:color="000000" w:sz="4" w:space="0"/>
              <w:bottom w:val="nil"/>
              <w:right w:val="single" w:color="000000" w:sz="4" w:space="0"/>
            </w:tcBorders>
          </w:tcPr>
          <w:p/>
        </w:tc>
        <w:tc>
          <w:tcPr>
            <w:tcW w:w="672" w:type="dxa"/>
            <w:vMerge w:val="continue"/>
            <w:tcBorders>
              <w:top w:val="nil"/>
              <w:left w:val="nil"/>
              <w:bottom w:val="nil"/>
              <w:right w:val="single" w:color="000000" w:sz="4" w:space="0"/>
            </w:tcBorders>
          </w:tcPr>
          <w:p/>
        </w:tc>
        <w:tc>
          <w:tcPr>
            <w:tcW w:w="2159" w:type="dxa"/>
            <w:gridSpan w:val="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移动公众号服务平台（含网约护士）</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6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13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567"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657"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524" w:type="dxa"/>
        </w:trPr>
        <w:tc>
          <w:tcPr>
            <w:tcW w:w="597" w:type="dxa"/>
            <w:vMerge w:val="continue"/>
            <w:tcBorders>
              <w:top w:val="nil"/>
              <w:left w:val="single" w:color="000000" w:sz="4" w:space="0"/>
              <w:bottom w:val="nil"/>
              <w:right w:val="single" w:color="000000" w:sz="4" w:space="0"/>
            </w:tcBorders>
          </w:tcPr>
          <w:p/>
        </w:tc>
        <w:tc>
          <w:tcPr>
            <w:tcW w:w="672" w:type="dxa"/>
            <w:vMerge w:val="continue"/>
            <w:tcBorders>
              <w:top w:val="nil"/>
              <w:left w:val="nil"/>
              <w:bottom w:val="nil"/>
              <w:right w:val="single" w:color="000000" w:sz="4" w:space="0"/>
            </w:tcBorders>
          </w:tcPr>
          <w:p/>
        </w:tc>
        <w:tc>
          <w:tcPr>
            <w:tcW w:w="2159" w:type="dxa"/>
            <w:gridSpan w:val="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诊间结算系统</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6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13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567"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657"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524" w:type="dxa"/>
        </w:trPr>
        <w:tc>
          <w:tcPr>
            <w:tcW w:w="597" w:type="dxa"/>
            <w:vMerge w:val="continue"/>
            <w:tcBorders>
              <w:top w:val="nil"/>
              <w:left w:val="single" w:color="000000" w:sz="4" w:space="0"/>
              <w:bottom w:val="nil"/>
              <w:right w:val="single" w:color="000000" w:sz="4" w:space="0"/>
            </w:tcBorders>
          </w:tcPr>
          <w:p/>
        </w:tc>
        <w:tc>
          <w:tcPr>
            <w:tcW w:w="672" w:type="dxa"/>
            <w:vMerge w:val="continue"/>
            <w:tcBorders>
              <w:top w:val="nil"/>
              <w:left w:val="nil"/>
              <w:bottom w:val="nil"/>
              <w:right w:val="single" w:color="000000" w:sz="4" w:space="0"/>
            </w:tcBorders>
          </w:tcPr>
          <w:p/>
        </w:tc>
        <w:tc>
          <w:tcPr>
            <w:tcW w:w="2159" w:type="dxa"/>
            <w:gridSpan w:val="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床旁结算系统</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6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13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567"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657"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524" w:type="dxa"/>
        </w:trPr>
        <w:tc>
          <w:tcPr>
            <w:tcW w:w="597" w:type="dxa"/>
            <w:vMerge w:val="continue"/>
            <w:tcBorders>
              <w:top w:val="nil"/>
              <w:left w:val="single" w:color="000000" w:sz="4" w:space="0"/>
              <w:bottom w:val="nil"/>
              <w:right w:val="single" w:color="000000" w:sz="4" w:space="0"/>
            </w:tcBorders>
          </w:tcPr>
          <w:p/>
        </w:tc>
        <w:tc>
          <w:tcPr>
            <w:tcW w:w="672" w:type="dxa"/>
            <w:vMerge w:val="continue"/>
            <w:tcBorders>
              <w:top w:val="nil"/>
              <w:left w:val="nil"/>
              <w:bottom w:val="nil"/>
              <w:right w:val="single" w:color="000000" w:sz="4" w:space="0"/>
            </w:tcBorders>
          </w:tcPr>
          <w:p/>
        </w:tc>
        <w:tc>
          <w:tcPr>
            <w:tcW w:w="2159" w:type="dxa"/>
            <w:gridSpan w:val="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院内AR导航系统</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1</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1"/>
              </w:rPr>
              <w:t>项</w:t>
            </w:r>
          </w:p>
        </w:tc>
        <w:tc>
          <w:tcPr>
            <w:tcW w:w="6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13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567"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657"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524" w:type="dxa"/>
        </w:trPr>
        <w:tc>
          <w:tcPr>
            <w:tcW w:w="597"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11</w:t>
            </w:r>
          </w:p>
        </w:tc>
        <w:tc>
          <w:tcPr>
            <w:tcW w:w="67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医护系统</w:t>
            </w:r>
          </w:p>
        </w:tc>
        <w:tc>
          <w:tcPr>
            <w:tcW w:w="2159" w:type="dxa"/>
            <w:gridSpan w:val="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移动医生系统</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6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13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567"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657"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524" w:type="dxa"/>
        </w:trPr>
        <w:tc>
          <w:tcPr>
            <w:tcW w:w="597"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b/>
                <w:color w:val="000000"/>
                <w:sz w:val="21"/>
              </w:rPr>
              <w:t>A</w:t>
            </w:r>
          </w:p>
        </w:tc>
        <w:tc>
          <w:tcPr>
            <w:tcW w:w="5018" w:type="dxa"/>
            <w:gridSpan w:val="1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b/>
                <w:color w:val="000000"/>
                <w:sz w:val="21"/>
              </w:rPr>
              <w:t>应用软件开发费用合计</w:t>
            </w:r>
          </w:p>
        </w:tc>
        <w:tc>
          <w:tcPr>
            <w:tcW w:w="113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567" w:type="dxa"/>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657" w:type="dxa"/>
            <w:tcBorders>
              <w:top w:val="nil"/>
              <w:left w:val="nil"/>
              <w:bottom w:val="single" w:color="000000" w:sz="4" w:space="0"/>
              <w:right w:val="single" w:color="000000" w:sz="4" w:space="0"/>
            </w:tcBorders>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b/>
                <w:color w:val="000000"/>
                <w:sz w:val="21"/>
              </w:rPr>
              <w:t>二</w:t>
            </w:r>
          </w:p>
        </w:tc>
        <w:tc>
          <w:tcPr>
            <w:tcW w:w="7685" w:type="dxa"/>
            <w:gridSpan w:val="18"/>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b/>
                <w:color w:val="000000"/>
                <w:sz w:val="21"/>
              </w:rPr>
              <w:t>接口服务</w:t>
            </w:r>
          </w:p>
        </w:tc>
        <w:tc>
          <w:tcPr>
            <w:tcW w:w="0" w:type="dxa"/>
            <w:tcBorders>
              <w:top w:val="nil"/>
              <w:left w:val="nil"/>
              <w:bottom w:val="nil"/>
              <w:right w:val="nil"/>
            </w:tcBorders>
          </w:tcPr>
          <w:p>
            <w:pPr>
              <w:pStyle w:val="4"/>
            </w:pPr>
            <w:r>
              <w:rPr>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b/>
                <w:color w:val="000000"/>
                <w:sz w:val="21"/>
              </w:rPr>
              <w:t>序号</w:t>
            </w:r>
          </w:p>
        </w:tc>
        <w:tc>
          <w:tcPr>
            <w:tcW w:w="3767" w:type="dxa"/>
            <w:gridSpan w:val="9"/>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b/>
                <w:color w:val="000000"/>
                <w:sz w:val="21"/>
              </w:rPr>
              <w:t>服务内容</w:t>
            </w:r>
          </w:p>
        </w:tc>
        <w:tc>
          <w:tcPr>
            <w:tcW w:w="624"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数量</w:t>
            </w:r>
          </w:p>
        </w:tc>
        <w:tc>
          <w:tcPr>
            <w:tcW w:w="1251"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单位</w:t>
            </w:r>
          </w:p>
        </w:tc>
        <w:tc>
          <w:tcPr>
            <w:tcW w:w="507"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单价</w:t>
            </w:r>
          </w:p>
        </w:tc>
        <w:tc>
          <w:tcPr>
            <w:tcW w:w="1536"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小计</w:t>
            </w:r>
          </w:p>
        </w:tc>
        <w:tc>
          <w:tcPr>
            <w:tcW w:w="0" w:type="dxa"/>
            <w:tcBorders>
              <w:top w:val="nil"/>
              <w:left w:val="nil"/>
              <w:bottom w:val="nil"/>
              <w:right w:val="nil"/>
            </w:tcBorders>
          </w:tcPr>
          <w:p>
            <w:pPr>
              <w:pStyle w:val="4"/>
            </w:pPr>
            <w:r>
              <w:rPr>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color w:val="000000"/>
                <w:sz w:val="21"/>
              </w:rPr>
              <w:t>1</w:t>
            </w:r>
          </w:p>
        </w:tc>
        <w:tc>
          <w:tcPr>
            <w:tcW w:w="3767" w:type="dxa"/>
            <w:gridSpan w:val="9"/>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国家卫生统计网络直报系统接口</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125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50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5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0" w:type="dxa"/>
            <w:tcBorders>
              <w:top w:val="nil"/>
              <w:left w:val="nil"/>
              <w:bottom w:val="nil"/>
              <w:right w:val="nil"/>
            </w:tcBorders>
          </w:tcPr>
          <w:p>
            <w:pPr>
              <w:pStyle w:val="4"/>
            </w:pPr>
            <w:r>
              <w:rPr>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color w:val="000000"/>
                <w:sz w:val="21"/>
              </w:rPr>
              <w:t>2</w:t>
            </w:r>
          </w:p>
        </w:tc>
        <w:tc>
          <w:tcPr>
            <w:tcW w:w="3767" w:type="dxa"/>
            <w:gridSpan w:val="9"/>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广东省远程医疗中心</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125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50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5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0" w:type="dxa"/>
            <w:tcBorders>
              <w:top w:val="nil"/>
              <w:left w:val="nil"/>
              <w:bottom w:val="nil"/>
              <w:right w:val="nil"/>
            </w:tcBorders>
          </w:tcPr>
          <w:p>
            <w:pPr>
              <w:pStyle w:val="4"/>
            </w:pPr>
            <w:r>
              <w:rPr>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color w:val="000000"/>
                <w:sz w:val="21"/>
              </w:rPr>
              <w:t>3</w:t>
            </w:r>
          </w:p>
        </w:tc>
        <w:tc>
          <w:tcPr>
            <w:tcW w:w="3767" w:type="dxa"/>
            <w:gridSpan w:val="9"/>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广东省妇幼健康信息平台</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125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50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5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0" w:type="dxa"/>
            <w:tcBorders>
              <w:top w:val="nil"/>
              <w:left w:val="nil"/>
              <w:bottom w:val="nil"/>
              <w:right w:val="nil"/>
            </w:tcBorders>
          </w:tcPr>
          <w:p>
            <w:pPr>
              <w:pStyle w:val="4"/>
            </w:pPr>
            <w:r>
              <w:rPr>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color w:val="000000"/>
                <w:sz w:val="21"/>
              </w:rPr>
              <w:t>4</w:t>
            </w:r>
          </w:p>
        </w:tc>
        <w:tc>
          <w:tcPr>
            <w:tcW w:w="3767" w:type="dxa"/>
            <w:gridSpan w:val="9"/>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广东省电子健康码平台</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125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50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5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0" w:type="dxa"/>
            <w:tcBorders>
              <w:top w:val="nil"/>
              <w:left w:val="nil"/>
              <w:bottom w:val="nil"/>
              <w:right w:val="nil"/>
            </w:tcBorders>
          </w:tcPr>
          <w:p>
            <w:pPr>
              <w:pStyle w:val="4"/>
            </w:pPr>
            <w:r>
              <w:rPr>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color w:val="000000"/>
                <w:sz w:val="21"/>
              </w:rPr>
              <w:t>5</w:t>
            </w:r>
          </w:p>
        </w:tc>
        <w:tc>
          <w:tcPr>
            <w:tcW w:w="3767" w:type="dxa"/>
            <w:gridSpan w:val="9"/>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与广东省病案系统对接</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125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50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5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0" w:type="dxa"/>
            <w:tcBorders>
              <w:top w:val="nil"/>
              <w:left w:val="nil"/>
              <w:bottom w:val="nil"/>
              <w:right w:val="nil"/>
            </w:tcBorders>
          </w:tcPr>
          <w:p>
            <w:pPr>
              <w:pStyle w:val="4"/>
            </w:pPr>
            <w:r>
              <w:rPr>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color w:val="000000"/>
                <w:sz w:val="21"/>
              </w:rPr>
              <w:t>6</w:t>
            </w:r>
          </w:p>
        </w:tc>
        <w:tc>
          <w:tcPr>
            <w:tcW w:w="3767" w:type="dxa"/>
            <w:gridSpan w:val="9"/>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广东省基层医疗卫生机构管理信息系统接口</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125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50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5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0" w:type="dxa"/>
            <w:tcBorders>
              <w:top w:val="nil"/>
              <w:left w:val="nil"/>
              <w:bottom w:val="nil"/>
              <w:right w:val="nil"/>
            </w:tcBorders>
          </w:tcPr>
          <w:p>
            <w:pPr>
              <w:pStyle w:val="4"/>
            </w:pPr>
            <w:r>
              <w:rPr>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color w:val="000000"/>
                <w:sz w:val="21"/>
              </w:rPr>
              <w:t>7</w:t>
            </w:r>
          </w:p>
        </w:tc>
        <w:tc>
          <w:tcPr>
            <w:tcW w:w="3767" w:type="dxa"/>
            <w:gridSpan w:val="9"/>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广东省“粤省事”接口</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125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50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5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0" w:type="dxa"/>
            <w:tcBorders>
              <w:top w:val="nil"/>
              <w:left w:val="nil"/>
              <w:bottom w:val="nil"/>
              <w:right w:val="nil"/>
            </w:tcBorders>
          </w:tcPr>
          <w:p>
            <w:pPr>
              <w:pStyle w:val="4"/>
            </w:pPr>
            <w:r>
              <w:rPr>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color w:val="000000"/>
                <w:sz w:val="21"/>
              </w:rPr>
              <w:t>8</w:t>
            </w:r>
          </w:p>
        </w:tc>
        <w:tc>
          <w:tcPr>
            <w:tcW w:w="3767" w:type="dxa"/>
            <w:gridSpan w:val="9"/>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广东省财政电子票据系统接口</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125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50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5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0" w:type="dxa"/>
            <w:tcBorders>
              <w:top w:val="nil"/>
              <w:left w:val="nil"/>
              <w:bottom w:val="nil"/>
              <w:right w:val="nil"/>
            </w:tcBorders>
          </w:tcPr>
          <w:p>
            <w:pPr>
              <w:pStyle w:val="4"/>
            </w:pPr>
            <w:r>
              <w:rPr>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color w:val="000000"/>
                <w:sz w:val="21"/>
              </w:rPr>
              <w:t>9</w:t>
            </w:r>
          </w:p>
        </w:tc>
        <w:tc>
          <w:tcPr>
            <w:tcW w:w="3767" w:type="dxa"/>
            <w:gridSpan w:val="9"/>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医保电子处方中心“双通道”业务实施两定机构接口</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125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50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5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0" w:type="dxa"/>
            <w:tcBorders>
              <w:top w:val="nil"/>
              <w:left w:val="nil"/>
              <w:bottom w:val="nil"/>
              <w:right w:val="nil"/>
            </w:tcBorders>
          </w:tcPr>
          <w:p>
            <w:pPr>
              <w:pStyle w:val="4"/>
            </w:pPr>
            <w:r>
              <w:rPr>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color w:val="000000"/>
                <w:sz w:val="21"/>
              </w:rPr>
              <w:t>10</w:t>
            </w:r>
          </w:p>
        </w:tc>
        <w:tc>
          <w:tcPr>
            <w:tcW w:w="3767" w:type="dxa"/>
            <w:gridSpan w:val="9"/>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广东省检查检验结果互认共享平台</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125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50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5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0" w:type="dxa"/>
            <w:tcBorders>
              <w:top w:val="nil"/>
              <w:left w:val="nil"/>
              <w:bottom w:val="nil"/>
              <w:right w:val="nil"/>
            </w:tcBorders>
          </w:tcPr>
          <w:p>
            <w:pPr>
              <w:pStyle w:val="4"/>
            </w:pPr>
            <w:r>
              <w:rPr>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color w:val="000000"/>
                <w:sz w:val="21"/>
              </w:rPr>
              <w:t>11</w:t>
            </w:r>
          </w:p>
        </w:tc>
        <w:tc>
          <w:tcPr>
            <w:tcW w:w="3767" w:type="dxa"/>
            <w:gridSpan w:val="9"/>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广东省食源性疾病病例监测直报接口</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125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50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5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0" w:type="dxa"/>
            <w:tcBorders>
              <w:top w:val="nil"/>
              <w:left w:val="nil"/>
              <w:bottom w:val="nil"/>
              <w:right w:val="nil"/>
            </w:tcBorders>
          </w:tcPr>
          <w:p>
            <w:pPr>
              <w:pStyle w:val="4"/>
            </w:pPr>
            <w:r>
              <w:rPr>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color w:val="000000"/>
                <w:sz w:val="21"/>
              </w:rPr>
              <w:t>12</w:t>
            </w:r>
          </w:p>
        </w:tc>
        <w:tc>
          <w:tcPr>
            <w:tcW w:w="3767" w:type="dxa"/>
            <w:gridSpan w:val="9"/>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惠州市区域卫生信息平台</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125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50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5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0" w:type="dxa"/>
            <w:tcBorders>
              <w:top w:val="nil"/>
              <w:left w:val="nil"/>
              <w:bottom w:val="nil"/>
              <w:right w:val="nil"/>
            </w:tcBorders>
          </w:tcPr>
          <w:p>
            <w:pPr>
              <w:pStyle w:val="4"/>
            </w:pPr>
            <w:r>
              <w:rPr>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color w:val="000000"/>
                <w:sz w:val="21"/>
              </w:rPr>
              <w:t>13</w:t>
            </w:r>
          </w:p>
        </w:tc>
        <w:tc>
          <w:tcPr>
            <w:tcW w:w="3767" w:type="dxa"/>
            <w:gridSpan w:val="9"/>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惠州市医疗保险信息管理系统接口</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125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50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5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0" w:type="dxa"/>
            <w:tcBorders>
              <w:top w:val="nil"/>
              <w:left w:val="nil"/>
              <w:bottom w:val="nil"/>
              <w:right w:val="nil"/>
            </w:tcBorders>
          </w:tcPr>
          <w:p>
            <w:pPr>
              <w:pStyle w:val="4"/>
            </w:pPr>
            <w:r>
              <w:rPr>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color w:val="000000"/>
                <w:sz w:val="21"/>
              </w:rPr>
              <w:t>14</w:t>
            </w:r>
          </w:p>
        </w:tc>
        <w:tc>
          <w:tcPr>
            <w:tcW w:w="3767" w:type="dxa"/>
            <w:gridSpan w:val="9"/>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银行pos接口</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125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50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5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0" w:type="dxa"/>
            <w:tcBorders>
              <w:top w:val="nil"/>
              <w:left w:val="nil"/>
              <w:bottom w:val="nil"/>
              <w:right w:val="nil"/>
            </w:tcBorders>
          </w:tcPr>
          <w:p>
            <w:pPr>
              <w:pStyle w:val="4"/>
            </w:pPr>
            <w:r>
              <w:rPr>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color w:val="000000"/>
                <w:sz w:val="21"/>
              </w:rPr>
              <w:t>15</w:t>
            </w:r>
          </w:p>
        </w:tc>
        <w:tc>
          <w:tcPr>
            <w:tcW w:w="3767" w:type="dxa"/>
            <w:gridSpan w:val="9"/>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自助机接口</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125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50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5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0" w:type="dxa"/>
            <w:tcBorders>
              <w:top w:val="nil"/>
              <w:left w:val="nil"/>
              <w:bottom w:val="nil"/>
              <w:right w:val="nil"/>
            </w:tcBorders>
          </w:tcPr>
          <w:p>
            <w:pPr>
              <w:pStyle w:val="4"/>
            </w:pPr>
            <w:r>
              <w:rPr>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color w:val="000000"/>
                <w:sz w:val="21"/>
              </w:rPr>
              <w:t>16</w:t>
            </w:r>
          </w:p>
        </w:tc>
        <w:tc>
          <w:tcPr>
            <w:tcW w:w="3767" w:type="dxa"/>
            <w:gridSpan w:val="9"/>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院内其他设备接口</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125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50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5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0" w:type="dxa"/>
            <w:tcBorders>
              <w:top w:val="nil"/>
              <w:left w:val="nil"/>
              <w:bottom w:val="nil"/>
              <w:right w:val="nil"/>
            </w:tcBorders>
          </w:tcPr>
          <w:p>
            <w:pPr>
              <w:pStyle w:val="4"/>
            </w:pPr>
            <w:r>
              <w:rPr>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color w:val="000000"/>
                <w:sz w:val="21"/>
              </w:rPr>
              <w:t>17</w:t>
            </w:r>
          </w:p>
        </w:tc>
        <w:tc>
          <w:tcPr>
            <w:tcW w:w="3767" w:type="dxa"/>
            <w:gridSpan w:val="9"/>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现有医院信息集成平台接口</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125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50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5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0" w:type="dxa"/>
            <w:tcBorders>
              <w:top w:val="nil"/>
              <w:left w:val="nil"/>
              <w:bottom w:val="single" w:color="000000" w:sz="4" w:space="0"/>
              <w:right w:val="nil"/>
            </w:tcBorders>
          </w:tcPr>
          <w:p>
            <w:pPr>
              <w:pStyle w:val="4"/>
            </w:pPr>
            <w:r>
              <w:rPr>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22" w:type="dxa"/>
        </w:trPr>
        <w:tc>
          <w:tcPr>
            <w:tcW w:w="597"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b/>
                <w:color w:val="000000"/>
                <w:sz w:val="21"/>
              </w:rPr>
              <w:t>B</w:t>
            </w:r>
          </w:p>
        </w:tc>
        <w:tc>
          <w:tcPr>
            <w:tcW w:w="6149" w:type="dxa"/>
            <w:gridSpan w:val="1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b/>
                <w:color w:val="000000"/>
                <w:sz w:val="21"/>
              </w:rPr>
              <w:t>接口服务费用合计</w:t>
            </w:r>
          </w:p>
        </w:tc>
        <w:tc>
          <w:tcPr>
            <w:tcW w:w="15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b/>
                <w:color w:val="000000"/>
                <w:sz w:val="21"/>
              </w:rPr>
              <w:t>三</w:t>
            </w:r>
          </w:p>
        </w:tc>
        <w:tc>
          <w:tcPr>
            <w:tcW w:w="7685" w:type="dxa"/>
            <w:gridSpan w:val="18"/>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b/>
                <w:color w:val="000000"/>
                <w:sz w:val="21"/>
              </w:rPr>
              <w:t>医院历史数据迁移服务</w:t>
            </w:r>
          </w:p>
        </w:tc>
        <w:tc>
          <w:tcPr>
            <w:tcW w:w="0" w:type="dxa"/>
            <w:tcBorders>
              <w:top w:val="nil"/>
              <w:left w:val="nil"/>
              <w:bottom w:val="nil"/>
              <w:right w:val="nil"/>
            </w:tcBorders>
          </w:tcPr>
          <w:p>
            <w:pPr>
              <w:pStyle w:val="4"/>
            </w:pPr>
            <w:r>
              <w:rPr>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b/>
                <w:color w:val="000000"/>
                <w:sz w:val="21"/>
              </w:rPr>
              <w:t>序号</w:t>
            </w:r>
          </w:p>
        </w:tc>
        <w:tc>
          <w:tcPr>
            <w:tcW w:w="129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b/>
                <w:color w:val="000000"/>
                <w:sz w:val="21"/>
              </w:rPr>
              <w:t>服务项目</w:t>
            </w:r>
          </w:p>
        </w:tc>
        <w:tc>
          <w:tcPr>
            <w:tcW w:w="2471" w:type="dxa"/>
            <w:gridSpan w:val="6"/>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b/>
                <w:color w:val="000000"/>
                <w:sz w:val="21"/>
              </w:rPr>
              <w:t>服务内容</w:t>
            </w:r>
          </w:p>
        </w:tc>
        <w:tc>
          <w:tcPr>
            <w:tcW w:w="624"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数量</w:t>
            </w:r>
          </w:p>
        </w:tc>
        <w:tc>
          <w:tcPr>
            <w:tcW w:w="1251"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单位</w:t>
            </w:r>
          </w:p>
        </w:tc>
        <w:tc>
          <w:tcPr>
            <w:tcW w:w="507"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单价</w:t>
            </w:r>
          </w:p>
        </w:tc>
        <w:tc>
          <w:tcPr>
            <w:tcW w:w="1536"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小计</w:t>
            </w:r>
          </w:p>
        </w:tc>
        <w:tc>
          <w:tcPr>
            <w:tcW w:w="0" w:type="dxa"/>
            <w:tcBorders>
              <w:top w:val="nil"/>
              <w:left w:val="nil"/>
              <w:bottom w:val="nil"/>
              <w:right w:val="nil"/>
            </w:tcBorders>
          </w:tcPr>
          <w:p>
            <w:pPr>
              <w:pStyle w:val="4"/>
            </w:pPr>
            <w:r>
              <w:rPr>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129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医院HIS数据迁移</w:t>
            </w:r>
          </w:p>
        </w:tc>
        <w:tc>
          <w:tcPr>
            <w:tcW w:w="2471" w:type="dxa"/>
            <w:gridSpan w:val="6"/>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包括HIS数据现状分析、继承方式实施、继承后的校验等服务</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125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50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5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0" w:type="dxa"/>
            <w:tcBorders>
              <w:top w:val="nil"/>
              <w:left w:val="nil"/>
              <w:bottom w:val="nil"/>
              <w:right w:val="nil"/>
            </w:tcBorders>
          </w:tcPr>
          <w:p>
            <w:pPr>
              <w:pStyle w:val="4"/>
            </w:pPr>
            <w:r>
              <w:rPr>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2</w:t>
            </w:r>
          </w:p>
        </w:tc>
        <w:tc>
          <w:tcPr>
            <w:tcW w:w="129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电子病历数据迁移</w:t>
            </w:r>
          </w:p>
        </w:tc>
        <w:tc>
          <w:tcPr>
            <w:tcW w:w="2471" w:type="dxa"/>
            <w:gridSpan w:val="6"/>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包括电子病历数据现状分析、继承方式实施、继承后的校验等服务</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125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50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5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0" w:type="dxa"/>
            <w:tcBorders>
              <w:top w:val="nil"/>
              <w:left w:val="nil"/>
              <w:bottom w:val="nil"/>
              <w:right w:val="nil"/>
            </w:tcBorders>
          </w:tcPr>
          <w:p>
            <w:pPr>
              <w:pStyle w:val="4"/>
            </w:pPr>
            <w:r>
              <w:rPr>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3</w:t>
            </w:r>
          </w:p>
        </w:tc>
        <w:tc>
          <w:tcPr>
            <w:tcW w:w="129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医院其他系统数据迁移</w:t>
            </w:r>
          </w:p>
        </w:tc>
        <w:tc>
          <w:tcPr>
            <w:tcW w:w="2471" w:type="dxa"/>
            <w:gridSpan w:val="6"/>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包括其他系统数据现状分析、继承方式实施、继承后的校验等服务</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125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50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5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0" w:type="dxa"/>
            <w:tcBorders>
              <w:top w:val="nil"/>
              <w:left w:val="nil"/>
              <w:bottom w:val="nil"/>
              <w:right w:val="nil"/>
            </w:tcBorders>
          </w:tcPr>
          <w:p>
            <w:pPr>
              <w:pStyle w:val="4"/>
            </w:pPr>
            <w:r>
              <w:rPr>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b/>
                <w:color w:val="000000"/>
                <w:sz w:val="21"/>
              </w:rPr>
              <w:t>C</w:t>
            </w:r>
          </w:p>
        </w:tc>
        <w:tc>
          <w:tcPr>
            <w:tcW w:w="6149" w:type="dxa"/>
            <w:gridSpan w:val="1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b/>
                <w:color w:val="000000"/>
                <w:sz w:val="21"/>
              </w:rPr>
              <w:t>医院历史数据迁移服务合计</w:t>
            </w:r>
          </w:p>
        </w:tc>
        <w:tc>
          <w:tcPr>
            <w:tcW w:w="15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0" w:type="dxa"/>
            <w:tcBorders>
              <w:top w:val="nil"/>
              <w:left w:val="nil"/>
              <w:bottom w:val="nil"/>
              <w:right w:val="nil"/>
            </w:tcBorders>
          </w:tcPr>
          <w:p>
            <w:pPr>
              <w:pStyle w:val="4"/>
            </w:pPr>
            <w:r>
              <w:rPr>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b/>
                <w:color w:val="000000"/>
                <w:sz w:val="21"/>
              </w:rPr>
              <w:t>四</w:t>
            </w:r>
          </w:p>
        </w:tc>
        <w:tc>
          <w:tcPr>
            <w:tcW w:w="7685" w:type="dxa"/>
            <w:gridSpan w:val="18"/>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b/>
                <w:color w:val="000000"/>
                <w:sz w:val="21"/>
              </w:rPr>
              <w:t>电子病历、互联互通测评支持服务</w:t>
            </w:r>
          </w:p>
        </w:tc>
        <w:tc>
          <w:tcPr>
            <w:tcW w:w="0" w:type="dxa"/>
            <w:tcBorders>
              <w:top w:val="nil"/>
              <w:left w:val="nil"/>
              <w:bottom w:val="nil"/>
              <w:right w:val="nil"/>
            </w:tcBorders>
          </w:tcPr>
          <w:p>
            <w:pPr>
              <w:pStyle w:val="4"/>
            </w:pPr>
            <w:r>
              <w:rPr>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b/>
                <w:color w:val="000000"/>
                <w:sz w:val="21"/>
              </w:rPr>
              <w:t>序号</w:t>
            </w:r>
          </w:p>
        </w:tc>
        <w:tc>
          <w:tcPr>
            <w:tcW w:w="129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b/>
                <w:color w:val="000000"/>
                <w:sz w:val="21"/>
              </w:rPr>
              <w:t>分类</w:t>
            </w:r>
          </w:p>
        </w:tc>
        <w:tc>
          <w:tcPr>
            <w:tcW w:w="2471" w:type="dxa"/>
            <w:gridSpan w:val="6"/>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b/>
                <w:color w:val="000000"/>
                <w:sz w:val="21"/>
              </w:rPr>
              <w:t>服务内容</w:t>
            </w:r>
          </w:p>
        </w:tc>
        <w:tc>
          <w:tcPr>
            <w:tcW w:w="624"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数量</w:t>
            </w:r>
          </w:p>
        </w:tc>
        <w:tc>
          <w:tcPr>
            <w:tcW w:w="1251"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单位</w:t>
            </w:r>
          </w:p>
        </w:tc>
        <w:tc>
          <w:tcPr>
            <w:tcW w:w="507"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单价</w:t>
            </w:r>
          </w:p>
        </w:tc>
        <w:tc>
          <w:tcPr>
            <w:tcW w:w="1536"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小计</w:t>
            </w:r>
          </w:p>
        </w:tc>
        <w:tc>
          <w:tcPr>
            <w:tcW w:w="0" w:type="dxa"/>
            <w:tcBorders>
              <w:top w:val="nil"/>
              <w:left w:val="nil"/>
              <w:bottom w:val="nil"/>
              <w:right w:val="nil"/>
            </w:tcBorders>
          </w:tcPr>
          <w:p>
            <w:pPr>
              <w:pStyle w:val="4"/>
            </w:pPr>
            <w:r>
              <w:rPr>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color w:val="000000"/>
                <w:sz w:val="21"/>
              </w:rPr>
              <w:t>1</w:t>
            </w:r>
          </w:p>
        </w:tc>
        <w:tc>
          <w:tcPr>
            <w:tcW w:w="1296" w:type="dxa"/>
            <w:gridSpan w:val="3"/>
            <w:vMerge w:val="restart"/>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电子病历测评支持服务</w:t>
            </w:r>
          </w:p>
        </w:tc>
        <w:tc>
          <w:tcPr>
            <w:tcW w:w="2471" w:type="dxa"/>
            <w:gridSpan w:val="6"/>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数据质量工具应用</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125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50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5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0" w:type="dxa"/>
            <w:tcBorders>
              <w:top w:val="nil"/>
              <w:left w:val="nil"/>
              <w:bottom w:val="nil"/>
              <w:right w:val="nil"/>
            </w:tcBorders>
          </w:tcPr>
          <w:p>
            <w:pPr>
              <w:pStyle w:val="4"/>
            </w:pPr>
            <w:r>
              <w:rPr>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color w:val="000000"/>
                <w:sz w:val="21"/>
              </w:rPr>
              <w:t>2</w:t>
            </w:r>
          </w:p>
        </w:tc>
        <w:tc>
          <w:tcPr>
            <w:tcW w:w="1296" w:type="dxa"/>
            <w:gridSpan w:val="3"/>
            <w:vMerge w:val="continue"/>
            <w:tcBorders>
              <w:top w:val="nil"/>
              <w:left w:val="nil"/>
              <w:bottom w:val="single" w:color="000000" w:sz="4" w:space="0"/>
              <w:right w:val="single" w:color="000000" w:sz="4" w:space="0"/>
            </w:tcBorders>
          </w:tcPr>
          <w:p/>
        </w:tc>
        <w:tc>
          <w:tcPr>
            <w:tcW w:w="2471" w:type="dxa"/>
            <w:gridSpan w:val="6"/>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电子病历评级过程支持服务</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125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50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5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0" w:type="dxa"/>
            <w:tcBorders>
              <w:top w:val="nil"/>
              <w:left w:val="nil"/>
              <w:bottom w:val="nil"/>
              <w:right w:val="nil"/>
            </w:tcBorders>
          </w:tcPr>
          <w:p>
            <w:pPr>
              <w:pStyle w:val="4"/>
            </w:pPr>
            <w:r>
              <w:rPr>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color w:val="000000"/>
                <w:sz w:val="21"/>
              </w:rPr>
              <w:t>3</w:t>
            </w:r>
          </w:p>
        </w:tc>
        <w:tc>
          <w:tcPr>
            <w:tcW w:w="1296" w:type="dxa"/>
            <w:gridSpan w:val="3"/>
            <w:vMerge w:val="continue"/>
            <w:tcBorders>
              <w:top w:val="nil"/>
              <w:left w:val="nil"/>
              <w:bottom w:val="single" w:color="000000" w:sz="4" w:space="0"/>
              <w:right w:val="single" w:color="000000" w:sz="4" w:space="0"/>
            </w:tcBorders>
          </w:tcPr>
          <w:p/>
        </w:tc>
        <w:tc>
          <w:tcPr>
            <w:tcW w:w="2471" w:type="dxa"/>
            <w:gridSpan w:val="6"/>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项目差距调研分析评估服务</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125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50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5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0" w:type="dxa"/>
            <w:tcBorders>
              <w:top w:val="nil"/>
              <w:left w:val="nil"/>
              <w:bottom w:val="nil"/>
              <w:right w:val="nil"/>
            </w:tcBorders>
          </w:tcPr>
          <w:p>
            <w:pPr>
              <w:pStyle w:val="4"/>
            </w:pPr>
            <w:r>
              <w:rPr>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color w:val="000000"/>
                <w:sz w:val="21"/>
              </w:rPr>
              <w:t>4</w:t>
            </w:r>
          </w:p>
        </w:tc>
        <w:tc>
          <w:tcPr>
            <w:tcW w:w="1296" w:type="dxa"/>
            <w:gridSpan w:val="3"/>
            <w:vMerge w:val="continue"/>
            <w:tcBorders>
              <w:top w:val="nil"/>
              <w:left w:val="nil"/>
              <w:bottom w:val="single" w:color="000000" w:sz="4" w:space="0"/>
              <w:right w:val="single" w:color="000000" w:sz="4" w:space="0"/>
            </w:tcBorders>
          </w:tcPr>
          <w:p/>
        </w:tc>
        <w:tc>
          <w:tcPr>
            <w:tcW w:w="2471" w:type="dxa"/>
            <w:gridSpan w:val="6"/>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申报材料整理的指导和准备</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125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50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5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0" w:type="dxa"/>
            <w:tcBorders>
              <w:top w:val="nil"/>
              <w:left w:val="nil"/>
              <w:bottom w:val="nil"/>
              <w:right w:val="nil"/>
            </w:tcBorders>
          </w:tcPr>
          <w:p>
            <w:pPr>
              <w:pStyle w:val="4"/>
            </w:pPr>
            <w:r>
              <w:rPr>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color w:val="000000"/>
                <w:sz w:val="21"/>
              </w:rPr>
              <w:t>5</w:t>
            </w:r>
          </w:p>
        </w:tc>
        <w:tc>
          <w:tcPr>
            <w:tcW w:w="1296" w:type="dxa"/>
            <w:gridSpan w:val="3"/>
            <w:vMerge w:val="continue"/>
            <w:tcBorders>
              <w:top w:val="nil"/>
              <w:left w:val="nil"/>
              <w:bottom w:val="single" w:color="000000" w:sz="4" w:space="0"/>
              <w:right w:val="single" w:color="000000" w:sz="4" w:space="0"/>
            </w:tcBorders>
          </w:tcPr>
          <w:p/>
        </w:tc>
        <w:tc>
          <w:tcPr>
            <w:tcW w:w="2471" w:type="dxa"/>
            <w:gridSpan w:val="6"/>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网上申报支持</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125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50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5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0" w:type="dxa"/>
            <w:tcBorders>
              <w:top w:val="nil"/>
              <w:left w:val="nil"/>
              <w:bottom w:val="nil"/>
              <w:right w:val="nil"/>
            </w:tcBorders>
          </w:tcPr>
          <w:p>
            <w:pPr>
              <w:pStyle w:val="4"/>
            </w:pPr>
            <w:r>
              <w:rPr>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color w:val="000000"/>
                <w:sz w:val="21"/>
              </w:rPr>
              <w:t>6</w:t>
            </w:r>
          </w:p>
        </w:tc>
        <w:tc>
          <w:tcPr>
            <w:tcW w:w="1296" w:type="dxa"/>
            <w:gridSpan w:val="3"/>
            <w:vMerge w:val="continue"/>
            <w:tcBorders>
              <w:top w:val="nil"/>
              <w:left w:val="nil"/>
              <w:bottom w:val="single" w:color="000000" w:sz="4" w:space="0"/>
              <w:right w:val="single" w:color="000000" w:sz="4" w:space="0"/>
            </w:tcBorders>
          </w:tcPr>
          <w:p/>
        </w:tc>
        <w:tc>
          <w:tcPr>
            <w:tcW w:w="2471" w:type="dxa"/>
            <w:gridSpan w:val="6"/>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文审答辩支持</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125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50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5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0" w:type="dxa"/>
            <w:tcBorders>
              <w:top w:val="nil"/>
              <w:left w:val="nil"/>
              <w:bottom w:val="nil"/>
              <w:right w:val="nil"/>
            </w:tcBorders>
          </w:tcPr>
          <w:p>
            <w:pPr>
              <w:pStyle w:val="4"/>
            </w:pPr>
            <w:r>
              <w:rPr>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color w:val="000000"/>
                <w:sz w:val="21"/>
              </w:rPr>
              <w:t>7</w:t>
            </w:r>
          </w:p>
        </w:tc>
        <w:tc>
          <w:tcPr>
            <w:tcW w:w="1296" w:type="dxa"/>
            <w:gridSpan w:val="3"/>
            <w:vMerge w:val="continue"/>
            <w:tcBorders>
              <w:top w:val="nil"/>
              <w:left w:val="nil"/>
              <w:bottom w:val="single" w:color="000000" w:sz="4" w:space="0"/>
              <w:right w:val="single" w:color="000000" w:sz="4" w:space="0"/>
            </w:tcBorders>
          </w:tcPr>
          <w:p/>
        </w:tc>
        <w:tc>
          <w:tcPr>
            <w:tcW w:w="2471" w:type="dxa"/>
            <w:gridSpan w:val="6"/>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现场测评支持服务</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125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50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5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0" w:type="dxa"/>
            <w:tcBorders>
              <w:top w:val="nil"/>
              <w:left w:val="nil"/>
              <w:bottom w:val="nil"/>
              <w:right w:val="nil"/>
            </w:tcBorders>
          </w:tcPr>
          <w:p>
            <w:pPr>
              <w:pStyle w:val="4"/>
            </w:pPr>
            <w:r>
              <w:rPr>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color w:val="000000"/>
                <w:sz w:val="21"/>
              </w:rPr>
              <w:t>8</w:t>
            </w:r>
          </w:p>
        </w:tc>
        <w:tc>
          <w:tcPr>
            <w:tcW w:w="1296" w:type="dxa"/>
            <w:gridSpan w:val="3"/>
            <w:vMerge w:val="restart"/>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互联互通测评支持服务</w:t>
            </w:r>
          </w:p>
        </w:tc>
        <w:tc>
          <w:tcPr>
            <w:tcW w:w="2471" w:type="dxa"/>
            <w:gridSpan w:val="6"/>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项目差距调研分析评估服务</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125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50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5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0" w:type="dxa"/>
            <w:tcBorders>
              <w:top w:val="nil"/>
              <w:left w:val="nil"/>
              <w:bottom w:val="nil"/>
              <w:right w:val="nil"/>
            </w:tcBorders>
          </w:tcPr>
          <w:p>
            <w:pPr>
              <w:pStyle w:val="4"/>
            </w:pPr>
            <w:r>
              <w:rPr>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color w:val="000000"/>
                <w:sz w:val="21"/>
              </w:rPr>
              <w:t>9</w:t>
            </w:r>
          </w:p>
        </w:tc>
        <w:tc>
          <w:tcPr>
            <w:tcW w:w="1296" w:type="dxa"/>
            <w:gridSpan w:val="3"/>
            <w:vMerge w:val="continue"/>
            <w:tcBorders>
              <w:top w:val="nil"/>
              <w:left w:val="nil"/>
              <w:bottom w:val="single" w:color="000000" w:sz="4" w:space="0"/>
              <w:right w:val="single" w:color="000000" w:sz="4" w:space="0"/>
            </w:tcBorders>
          </w:tcPr>
          <w:p/>
        </w:tc>
        <w:tc>
          <w:tcPr>
            <w:tcW w:w="2471" w:type="dxa"/>
            <w:gridSpan w:val="6"/>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申报材料整理的指导和准备</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125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50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5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0" w:type="dxa"/>
            <w:tcBorders>
              <w:top w:val="nil"/>
              <w:left w:val="nil"/>
              <w:bottom w:val="nil"/>
              <w:right w:val="nil"/>
            </w:tcBorders>
          </w:tcPr>
          <w:p>
            <w:pPr>
              <w:pStyle w:val="4"/>
            </w:pPr>
            <w:r>
              <w:rPr>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color w:val="000000"/>
                <w:sz w:val="21"/>
              </w:rPr>
              <w:t>10</w:t>
            </w:r>
          </w:p>
        </w:tc>
        <w:tc>
          <w:tcPr>
            <w:tcW w:w="1296" w:type="dxa"/>
            <w:gridSpan w:val="3"/>
            <w:vMerge w:val="continue"/>
            <w:tcBorders>
              <w:top w:val="nil"/>
              <w:left w:val="nil"/>
              <w:bottom w:val="single" w:color="000000" w:sz="4" w:space="0"/>
              <w:right w:val="single" w:color="000000" w:sz="4" w:space="0"/>
            </w:tcBorders>
          </w:tcPr>
          <w:p/>
        </w:tc>
        <w:tc>
          <w:tcPr>
            <w:tcW w:w="2471" w:type="dxa"/>
            <w:gridSpan w:val="6"/>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网上申报支持</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125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50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5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0" w:type="dxa"/>
            <w:tcBorders>
              <w:top w:val="nil"/>
              <w:left w:val="nil"/>
              <w:bottom w:val="nil"/>
              <w:right w:val="nil"/>
            </w:tcBorders>
          </w:tcPr>
          <w:p>
            <w:pPr>
              <w:pStyle w:val="4"/>
            </w:pPr>
            <w:r>
              <w:rPr>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color w:val="000000"/>
                <w:sz w:val="21"/>
              </w:rPr>
              <w:t>11</w:t>
            </w:r>
          </w:p>
        </w:tc>
        <w:tc>
          <w:tcPr>
            <w:tcW w:w="1296" w:type="dxa"/>
            <w:gridSpan w:val="3"/>
            <w:vMerge w:val="continue"/>
            <w:tcBorders>
              <w:top w:val="nil"/>
              <w:left w:val="nil"/>
              <w:bottom w:val="single" w:color="000000" w:sz="4" w:space="0"/>
              <w:right w:val="single" w:color="000000" w:sz="4" w:space="0"/>
            </w:tcBorders>
          </w:tcPr>
          <w:p/>
        </w:tc>
        <w:tc>
          <w:tcPr>
            <w:tcW w:w="2471" w:type="dxa"/>
            <w:gridSpan w:val="6"/>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文审答辩支持</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125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50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5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0" w:type="dxa"/>
            <w:tcBorders>
              <w:top w:val="nil"/>
              <w:left w:val="nil"/>
              <w:bottom w:val="nil"/>
              <w:right w:val="nil"/>
            </w:tcBorders>
          </w:tcPr>
          <w:p>
            <w:pPr>
              <w:pStyle w:val="4"/>
            </w:pPr>
            <w:r>
              <w:rPr>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color w:val="000000"/>
                <w:sz w:val="21"/>
              </w:rPr>
              <w:t>12</w:t>
            </w:r>
          </w:p>
        </w:tc>
        <w:tc>
          <w:tcPr>
            <w:tcW w:w="1296" w:type="dxa"/>
            <w:gridSpan w:val="3"/>
            <w:vMerge w:val="continue"/>
            <w:tcBorders>
              <w:top w:val="nil"/>
              <w:left w:val="nil"/>
              <w:bottom w:val="single" w:color="000000" w:sz="4" w:space="0"/>
              <w:right w:val="single" w:color="000000" w:sz="4" w:space="0"/>
            </w:tcBorders>
          </w:tcPr>
          <w:p/>
        </w:tc>
        <w:tc>
          <w:tcPr>
            <w:tcW w:w="2471" w:type="dxa"/>
            <w:gridSpan w:val="6"/>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现场测评支持服务</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125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50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5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0" w:type="dxa"/>
            <w:tcBorders>
              <w:top w:val="nil"/>
              <w:left w:val="nil"/>
              <w:bottom w:val="single" w:color="000000" w:sz="4" w:space="0"/>
              <w:right w:val="nil"/>
            </w:tcBorders>
          </w:tcPr>
          <w:p>
            <w:pPr>
              <w:pStyle w:val="4"/>
            </w:pPr>
            <w:r>
              <w:rPr>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22" w:type="dxa"/>
        </w:trPr>
        <w:tc>
          <w:tcPr>
            <w:tcW w:w="597"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color w:val="000000"/>
                <w:sz w:val="21"/>
              </w:rPr>
              <w:t>D</w:t>
            </w:r>
          </w:p>
        </w:tc>
        <w:tc>
          <w:tcPr>
            <w:tcW w:w="6149" w:type="dxa"/>
            <w:gridSpan w:val="1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b/>
                <w:color w:val="000000"/>
                <w:sz w:val="21"/>
              </w:rPr>
              <w:t>电子病历、互联互通测评支持服务合计</w:t>
            </w:r>
          </w:p>
        </w:tc>
        <w:tc>
          <w:tcPr>
            <w:tcW w:w="15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b/>
                <w:color w:val="000000"/>
                <w:sz w:val="21"/>
              </w:rPr>
              <w:t>五</w:t>
            </w:r>
          </w:p>
        </w:tc>
        <w:tc>
          <w:tcPr>
            <w:tcW w:w="7685" w:type="dxa"/>
            <w:gridSpan w:val="18"/>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b/>
                <w:color w:val="000000"/>
                <w:sz w:val="21"/>
              </w:rPr>
              <w:t>IT基础设施建设</w:t>
            </w:r>
          </w:p>
        </w:tc>
        <w:tc>
          <w:tcPr>
            <w:tcW w:w="0" w:type="dxa"/>
            <w:tcBorders>
              <w:top w:val="nil"/>
              <w:left w:val="nil"/>
              <w:bottom w:val="nil"/>
              <w:right w:val="nil"/>
            </w:tcBorders>
          </w:tcPr>
          <w:p>
            <w:pPr>
              <w:pStyle w:val="4"/>
            </w:pPr>
            <w:r>
              <w:rPr>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color w:val="000000"/>
                <w:sz w:val="21"/>
              </w:rPr>
              <w:t>序号</w:t>
            </w:r>
          </w:p>
        </w:tc>
        <w:tc>
          <w:tcPr>
            <w:tcW w:w="98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r>
              <w:rPr>
                <w:color w:val="000000"/>
                <w:sz w:val="21"/>
              </w:rPr>
              <w:t>名称</w:t>
            </w:r>
          </w:p>
        </w:tc>
        <w:tc>
          <w:tcPr>
            <w:tcW w:w="624"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4"/>
              <w:jc w:val="left"/>
            </w:pPr>
            <w:r>
              <w:rPr>
                <w:color w:val="000000"/>
                <w:sz w:val="21"/>
              </w:rPr>
              <w:t>产品标准/主要服务内容(详见附表一)</w:t>
            </w:r>
          </w:p>
        </w:tc>
        <w:tc>
          <w:tcPr>
            <w:tcW w:w="911"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数量</w:t>
            </w:r>
          </w:p>
        </w:tc>
        <w:tc>
          <w:tcPr>
            <w:tcW w:w="624"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单位</w:t>
            </w:r>
          </w:p>
        </w:tc>
        <w:tc>
          <w:tcPr>
            <w:tcW w:w="936"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品牌</w:t>
            </w:r>
          </w:p>
        </w:tc>
        <w:tc>
          <w:tcPr>
            <w:tcW w:w="1251"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规格</w:t>
            </w:r>
          </w:p>
        </w:tc>
        <w:tc>
          <w:tcPr>
            <w:tcW w:w="819"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单价（元）</w:t>
            </w:r>
          </w:p>
        </w:tc>
        <w:tc>
          <w:tcPr>
            <w:tcW w:w="1536"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金额（元）</w:t>
            </w:r>
          </w:p>
        </w:tc>
        <w:tc>
          <w:tcPr>
            <w:tcW w:w="0" w:type="dxa"/>
            <w:tcBorders>
              <w:top w:val="nil"/>
              <w:left w:val="nil"/>
              <w:bottom w:val="nil"/>
              <w:right w:val="nil"/>
            </w:tcBorders>
          </w:tcPr>
          <w:p>
            <w:pPr>
              <w:pStyle w:val="4"/>
            </w:pPr>
            <w:r>
              <w:rPr>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left"/>
            </w:pPr>
            <w:r>
              <w:rPr>
                <w:color w:val="000000"/>
                <w:sz w:val="21"/>
              </w:rPr>
              <w:t>1</w:t>
            </w:r>
          </w:p>
        </w:tc>
        <w:tc>
          <w:tcPr>
            <w:tcW w:w="98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r>
              <w:rPr>
                <w:color w:val="000000"/>
                <w:sz w:val="21"/>
              </w:rPr>
              <w:t>核心业务集群</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p>
        </w:tc>
        <w:tc>
          <w:tcPr>
            <w:tcW w:w="911"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16</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台</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25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81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15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0" w:type="dxa"/>
            <w:tcBorders>
              <w:top w:val="nil"/>
              <w:left w:val="nil"/>
              <w:bottom w:val="nil"/>
              <w:right w:val="nil"/>
            </w:tcBorders>
          </w:tcPr>
          <w:p>
            <w:pPr>
              <w:pStyle w:val="4"/>
            </w:pPr>
            <w:r>
              <w:rPr>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left"/>
            </w:pPr>
            <w:r>
              <w:rPr>
                <w:color w:val="000000"/>
                <w:sz w:val="21"/>
              </w:rPr>
              <w:t>2</w:t>
            </w:r>
          </w:p>
        </w:tc>
        <w:tc>
          <w:tcPr>
            <w:tcW w:w="98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r>
              <w:rPr>
                <w:color w:val="000000"/>
                <w:sz w:val="21"/>
              </w:rPr>
              <w:t>核心业务集群虚拟化软件</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p>
        </w:tc>
        <w:tc>
          <w:tcPr>
            <w:tcW w:w="911"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32</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套</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25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81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15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0" w:type="dxa"/>
            <w:tcBorders>
              <w:top w:val="nil"/>
              <w:left w:val="nil"/>
              <w:bottom w:val="nil"/>
              <w:right w:val="nil"/>
            </w:tcBorders>
          </w:tcPr>
          <w:p>
            <w:pPr>
              <w:pStyle w:val="4"/>
            </w:pPr>
            <w:r>
              <w:rPr>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left"/>
            </w:pPr>
            <w:r>
              <w:rPr>
                <w:color w:val="000000"/>
                <w:sz w:val="21"/>
              </w:rPr>
              <w:t>3</w:t>
            </w:r>
          </w:p>
        </w:tc>
        <w:tc>
          <w:tcPr>
            <w:tcW w:w="98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r>
              <w:rPr>
                <w:color w:val="000000"/>
                <w:sz w:val="21"/>
              </w:rPr>
              <w:t>核心业务集群持续数据保护软件</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p>
        </w:tc>
        <w:tc>
          <w:tcPr>
            <w:tcW w:w="911"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套</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25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81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15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0" w:type="dxa"/>
            <w:tcBorders>
              <w:top w:val="nil"/>
              <w:left w:val="nil"/>
              <w:bottom w:val="nil"/>
              <w:right w:val="nil"/>
            </w:tcBorders>
          </w:tcPr>
          <w:p>
            <w:pPr>
              <w:pStyle w:val="4"/>
            </w:pPr>
            <w:r>
              <w:rPr>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left"/>
            </w:pPr>
            <w:r>
              <w:rPr>
                <w:color w:val="000000"/>
                <w:sz w:val="21"/>
              </w:rPr>
              <w:t>4</w:t>
            </w:r>
          </w:p>
        </w:tc>
        <w:tc>
          <w:tcPr>
            <w:tcW w:w="98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r>
              <w:rPr>
                <w:color w:val="000000"/>
                <w:sz w:val="21"/>
              </w:rPr>
              <w:t>核心业务集群虚拟化安全组件</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p>
        </w:tc>
        <w:tc>
          <w:tcPr>
            <w:tcW w:w="911"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套</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25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81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15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0" w:type="dxa"/>
            <w:tcBorders>
              <w:top w:val="nil"/>
              <w:left w:val="nil"/>
              <w:bottom w:val="nil"/>
              <w:right w:val="nil"/>
            </w:tcBorders>
          </w:tcPr>
          <w:p>
            <w:pPr>
              <w:pStyle w:val="4"/>
            </w:pPr>
            <w:r>
              <w:rPr>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left"/>
            </w:pPr>
            <w:r>
              <w:rPr>
                <w:color w:val="000000"/>
                <w:sz w:val="21"/>
              </w:rPr>
              <w:t>5</w:t>
            </w:r>
          </w:p>
        </w:tc>
        <w:tc>
          <w:tcPr>
            <w:tcW w:w="98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r>
              <w:rPr>
                <w:color w:val="000000"/>
                <w:sz w:val="21"/>
              </w:rPr>
              <w:t>核心业务集群—存储交换机</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p>
        </w:tc>
        <w:tc>
          <w:tcPr>
            <w:tcW w:w="911"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2</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台</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25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81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15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0" w:type="dxa"/>
            <w:tcBorders>
              <w:top w:val="nil"/>
              <w:left w:val="nil"/>
              <w:bottom w:val="nil"/>
              <w:right w:val="nil"/>
            </w:tcBorders>
          </w:tcPr>
          <w:p>
            <w:pPr>
              <w:pStyle w:val="4"/>
            </w:pPr>
            <w:r>
              <w:rPr>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left"/>
            </w:pPr>
            <w:r>
              <w:rPr>
                <w:color w:val="000000"/>
                <w:sz w:val="21"/>
              </w:rPr>
              <w:t>6</w:t>
            </w:r>
          </w:p>
        </w:tc>
        <w:tc>
          <w:tcPr>
            <w:tcW w:w="98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r>
              <w:rPr>
                <w:color w:val="000000"/>
                <w:sz w:val="21"/>
              </w:rPr>
              <w:t>核心业务集群—业务交换机</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p>
        </w:tc>
        <w:tc>
          <w:tcPr>
            <w:tcW w:w="911"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2</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台</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25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81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15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0" w:type="dxa"/>
            <w:tcBorders>
              <w:top w:val="nil"/>
              <w:left w:val="nil"/>
              <w:bottom w:val="nil"/>
              <w:right w:val="nil"/>
            </w:tcBorders>
          </w:tcPr>
          <w:p>
            <w:pPr>
              <w:pStyle w:val="4"/>
            </w:pPr>
            <w:r>
              <w:rPr>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left"/>
            </w:pPr>
            <w:r>
              <w:rPr>
                <w:color w:val="000000"/>
                <w:sz w:val="21"/>
              </w:rPr>
              <w:t>7</w:t>
            </w:r>
          </w:p>
        </w:tc>
        <w:tc>
          <w:tcPr>
            <w:tcW w:w="98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r>
              <w:rPr>
                <w:color w:val="000000"/>
                <w:sz w:val="21"/>
              </w:rPr>
              <w:t>核心业务集群—管理交换机</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p>
        </w:tc>
        <w:tc>
          <w:tcPr>
            <w:tcW w:w="911"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2</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台</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25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81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15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0" w:type="dxa"/>
            <w:tcBorders>
              <w:top w:val="nil"/>
              <w:left w:val="nil"/>
              <w:bottom w:val="nil"/>
              <w:right w:val="nil"/>
            </w:tcBorders>
          </w:tcPr>
          <w:p>
            <w:pPr>
              <w:pStyle w:val="4"/>
            </w:pPr>
            <w:r>
              <w:rPr>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left"/>
            </w:pPr>
            <w:r>
              <w:rPr>
                <w:color w:val="000000"/>
                <w:sz w:val="21"/>
              </w:rPr>
              <w:t>8</w:t>
            </w:r>
          </w:p>
        </w:tc>
        <w:tc>
          <w:tcPr>
            <w:tcW w:w="98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r>
              <w:rPr>
                <w:color w:val="000000"/>
                <w:sz w:val="21"/>
              </w:rPr>
              <w:t>DMZ服务区集群</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p>
        </w:tc>
        <w:tc>
          <w:tcPr>
            <w:tcW w:w="911"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4</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台</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25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81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15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0" w:type="dxa"/>
            <w:tcBorders>
              <w:top w:val="nil"/>
              <w:left w:val="nil"/>
              <w:bottom w:val="nil"/>
              <w:right w:val="nil"/>
            </w:tcBorders>
          </w:tcPr>
          <w:p>
            <w:pPr>
              <w:pStyle w:val="4"/>
            </w:pPr>
            <w:r>
              <w:rPr>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left"/>
            </w:pPr>
            <w:r>
              <w:rPr>
                <w:color w:val="000000"/>
                <w:sz w:val="21"/>
              </w:rPr>
              <w:t>9</w:t>
            </w:r>
          </w:p>
        </w:tc>
        <w:tc>
          <w:tcPr>
            <w:tcW w:w="98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r>
              <w:rPr>
                <w:color w:val="000000"/>
                <w:sz w:val="21"/>
              </w:rPr>
              <w:t>DMZ服务区集群虚拟化软件</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p>
        </w:tc>
        <w:tc>
          <w:tcPr>
            <w:tcW w:w="911"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8</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套</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25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81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15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0" w:type="dxa"/>
            <w:tcBorders>
              <w:top w:val="nil"/>
              <w:left w:val="nil"/>
              <w:bottom w:val="nil"/>
              <w:right w:val="nil"/>
            </w:tcBorders>
          </w:tcPr>
          <w:p>
            <w:pPr>
              <w:pStyle w:val="4"/>
            </w:pPr>
            <w:r>
              <w:rPr>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left"/>
            </w:pPr>
            <w:r>
              <w:rPr>
                <w:color w:val="000000"/>
                <w:sz w:val="21"/>
              </w:rPr>
              <w:t>10</w:t>
            </w:r>
          </w:p>
        </w:tc>
        <w:tc>
          <w:tcPr>
            <w:tcW w:w="98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r>
              <w:rPr>
                <w:color w:val="000000"/>
                <w:sz w:val="21"/>
              </w:rPr>
              <w:t>DMZ服务区集群持续数据保护软件</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p>
        </w:tc>
        <w:tc>
          <w:tcPr>
            <w:tcW w:w="911"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套</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25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81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15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0" w:type="dxa"/>
            <w:tcBorders>
              <w:top w:val="nil"/>
              <w:left w:val="nil"/>
              <w:bottom w:val="nil"/>
              <w:right w:val="nil"/>
            </w:tcBorders>
          </w:tcPr>
          <w:p>
            <w:pPr>
              <w:pStyle w:val="4"/>
            </w:pPr>
            <w:r>
              <w:rPr>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left"/>
            </w:pPr>
            <w:r>
              <w:rPr>
                <w:color w:val="000000"/>
                <w:sz w:val="21"/>
              </w:rPr>
              <w:t>11</w:t>
            </w:r>
          </w:p>
        </w:tc>
        <w:tc>
          <w:tcPr>
            <w:tcW w:w="98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r>
              <w:rPr>
                <w:color w:val="000000"/>
                <w:sz w:val="21"/>
              </w:rPr>
              <w:t>DMZ服务区集群虚拟化安全组件</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p>
        </w:tc>
        <w:tc>
          <w:tcPr>
            <w:tcW w:w="911"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套</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25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81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15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0" w:type="dxa"/>
            <w:tcBorders>
              <w:top w:val="nil"/>
              <w:left w:val="nil"/>
              <w:bottom w:val="nil"/>
              <w:right w:val="nil"/>
            </w:tcBorders>
          </w:tcPr>
          <w:p>
            <w:pPr>
              <w:pStyle w:val="4"/>
            </w:pPr>
            <w:r>
              <w:rPr>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left"/>
            </w:pPr>
            <w:r>
              <w:rPr>
                <w:color w:val="000000"/>
                <w:sz w:val="21"/>
              </w:rPr>
              <w:t>12</w:t>
            </w:r>
          </w:p>
        </w:tc>
        <w:tc>
          <w:tcPr>
            <w:tcW w:w="98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r>
              <w:rPr>
                <w:color w:val="000000"/>
                <w:sz w:val="21"/>
              </w:rPr>
              <w:t>DMZ服务区集群—存储交换机</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p>
        </w:tc>
        <w:tc>
          <w:tcPr>
            <w:tcW w:w="911"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2</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台</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25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81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15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0" w:type="dxa"/>
            <w:tcBorders>
              <w:top w:val="nil"/>
              <w:left w:val="nil"/>
              <w:bottom w:val="nil"/>
              <w:right w:val="nil"/>
            </w:tcBorders>
          </w:tcPr>
          <w:p>
            <w:pPr>
              <w:pStyle w:val="4"/>
            </w:pPr>
            <w:r>
              <w:rPr>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left"/>
            </w:pPr>
            <w:r>
              <w:rPr>
                <w:color w:val="000000"/>
                <w:sz w:val="21"/>
              </w:rPr>
              <w:t>13</w:t>
            </w:r>
          </w:p>
        </w:tc>
        <w:tc>
          <w:tcPr>
            <w:tcW w:w="98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r>
              <w:rPr>
                <w:color w:val="000000"/>
                <w:sz w:val="21"/>
              </w:rPr>
              <w:t>DMZ服务区集群—业务交换机</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p>
        </w:tc>
        <w:tc>
          <w:tcPr>
            <w:tcW w:w="911"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2</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台</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25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81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15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0" w:type="dxa"/>
            <w:tcBorders>
              <w:top w:val="nil"/>
              <w:left w:val="nil"/>
              <w:bottom w:val="nil"/>
              <w:right w:val="nil"/>
            </w:tcBorders>
          </w:tcPr>
          <w:p>
            <w:pPr>
              <w:pStyle w:val="4"/>
            </w:pPr>
            <w:r>
              <w:rPr>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left"/>
            </w:pPr>
            <w:r>
              <w:rPr>
                <w:color w:val="000000"/>
                <w:sz w:val="21"/>
              </w:rPr>
              <w:t>14</w:t>
            </w:r>
          </w:p>
        </w:tc>
        <w:tc>
          <w:tcPr>
            <w:tcW w:w="98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r>
              <w:rPr>
                <w:color w:val="000000"/>
                <w:sz w:val="21"/>
              </w:rPr>
              <w:t>分布式存储</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p>
        </w:tc>
        <w:tc>
          <w:tcPr>
            <w:tcW w:w="911"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3</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台</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25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81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15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0" w:type="dxa"/>
            <w:tcBorders>
              <w:top w:val="nil"/>
              <w:left w:val="nil"/>
              <w:bottom w:val="nil"/>
              <w:right w:val="nil"/>
            </w:tcBorders>
          </w:tcPr>
          <w:p>
            <w:pPr>
              <w:pStyle w:val="4"/>
            </w:pPr>
            <w:r>
              <w:rPr>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left"/>
            </w:pPr>
            <w:r>
              <w:rPr>
                <w:color w:val="000000"/>
                <w:sz w:val="21"/>
              </w:rPr>
              <w:t>15</w:t>
            </w:r>
          </w:p>
        </w:tc>
        <w:tc>
          <w:tcPr>
            <w:tcW w:w="98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r>
              <w:rPr>
                <w:color w:val="000000"/>
                <w:sz w:val="21"/>
              </w:rPr>
              <w:t>分布式存储—存储交换机</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p>
        </w:tc>
        <w:tc>
          <w:tcPr>
            <w:tcW w:w="911"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2</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台</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25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81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15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0" w:type="dxa"/>
            <w:tcBorders>
              <w:top w:val="nil"/>
              <w:left w:val="nil"/>
              <w:bottom w:val="nil"/>
              <w:right w:val="nil"/>
            </w:tcBorders>
          </w:tcPr>
          <w:p>
            <w:pPr>
              <w:pStyle w:val="4"/>
            </w:pPr>
            <w:r>
              <w:rPr>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left"/>
            </w:pPr>
            <w:r>
              <w:rPr>
                <w:color w:val="000000"/>
                <w:sz w:val="21"/>
              </w:rPr>
              <w:t>16</w:t>
            </w:r>
          </w:p>
        </w:tc>
        <w:tc>
          <w:tcPr>
            <w:tcW w:w="98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r>
              <w:rPr>
                <w:color w:val="000000"/>
                <w:sz w:val="21"/>
              </w:rPr>
              <w:t>分布式存储—业务交换机</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p>
        </w:tc>
        <w:tc>
          <w:tcPr>
            <w:tcW w:w="911"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2</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台</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125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81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15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0" w:type="dxa"/>
            <w:tcBorders>
              <w:top w:val="nil"/>
              <w:left w:val="nil"/>
              <w:bottom w:val="nil"/>
              <w:right w:val="nil"/>
            </w:tcBorders>
          </w:tcPr>
          <w:p>
            <w:pPr>
              <w:pStyle w:val="4"/>
            </w:pPr>
            <w:r>
              <w:rPr>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left"/>
            </w:pPr>
            <w:r>
              <w:rPr>
                <w:color w:val="000000"/>
                <w:sz w:val="21"/>
              </w:rPr>
              <w:t>17</w:t>
            </w:r>
          </w:p>
        </w:tc>
        <w:tc>
          <w:tcPr>
            <w:tcW w:w="98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r>
              <w:rPr>
                <w:color w:val="000000"/>
                <w:sz w:val="21"/>
              </w:rPr>
              <w:t>备份一体机</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p>
        </w:tc>
        <w:tc>
          <w:tcPr>
            <w:tcW w:w="911"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台</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p>
        </w:tc>
        <w:tc>
          <w:tcPr>
            <w:tcW w:w="125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81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15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0" w:type="dxa"/>
            <w:tcBorders>
              <w:top w:val="nil"/>
              <w:left w:val="nil"/>
              <w:bottom w:val="nil"/>
              <w:right w:val="nil"/>
            </w:tcBorders>
          </w:tcPr>
          <w:p>
            <w:pPr>
              <w:pStyle w:val="4"/>
            </w:pPr>
            <w:r>
              <w:rPr>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left"/>
            </w:pPr>
            <w:r>
              <w:rPr>
                <w:color w:val="000000"/>
                <w:sz w:val="21"/>
              </w:rPr>
              <w:t>18</w:t>
            </w:r>
          </w:p>
        </w:tc>
        <w:tc>
          <w:tcPr>
            <w:tcW w:w="98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r>
              <w:rPr>
                <w:color w:val="000000"/>
                <w:sz w:val="21"/>
              </w:rPr>
              <w:t>系统集成服务</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p>
        </w:tc>
        <w:tc>
          <w:tcPr>
            <w:tcW w:w="911"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624"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c>
          <w:tcPr>
            <w:tcW w:w="9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p>
        </w:tc>
        <w:tc>
          <w:tcPr>
            <w:tcW w:w="1251"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819" w:type="dxa"/>
            <w:gridSpan w:val="2"/>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15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tc>
        <w:tc>
          <w:tcPr>
            <w:tcW w:w="0" w:type="dxa"/>
            <w:tcBorders>
              <w:top w:val="nil"/>
              <w:left w:val="nil"/>
              <w:bottom w:val="nil"/>
              <w:right w:val="nil"/>
            </w:tcBorders>
          </w:tcPr>
          <w:p>
            <w:pPr>
              <w:pStyle w:val="4"/>
            </w:pPr>
            <w:r>
              <w:rPr>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color w:val="000000"/>
                <w:sz w:val="21"/>
              </w:rPr>
              <w:t>E</w:t>
            </w:r>
          </w:p>
        </w:tc>
        <w:tc>
          <w:tcPr>
            <w:tcW w:w="6149" w:type="dxa"/>
            <w:gridSpan w:val="1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b/>
                <w:color w:val="000000"/>
                <w:sz w:val="21"/>
              </w:rPr>
              <w:t>IT基础设施建设合计</w:t>
            </w:r>
          </w:p>
        </w:tc>
        <w:tc>
          <w:tcPr>
            <w:tcW w:w="15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0" w:type="dxa"/>
            <w:tcBorders>
              <w:top w:val="nil"/>
              <w:left w:val="nil"/>
              <w:bottom w:val="nil"/>
              <w:right w:val="nil"/>
            </w:tcBorders>
          </w:tcPr>
          <w:p>
            <w:pPr>
              <w:pStyle w:val="4"/>
            </w:pPr>
            <w:r>
              <w:rPr>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p>
        </w:tc>
        <w:tc>
          <w:tcPr>
            <w:tcW w:w="6149" w:type="dxa"/>
            <w:gridSpan w:val="15"/>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b/>
                <w:color w:val="000000"/>
                <w:sz w:val="21"/>
              </w:rPr>
              <w:t>总计=A+B+C+D+E</w:t>
            </w:r>
          </w:p>
        </w:tc>
        <w:tc>
          <w:tcPr>
            <w:tcW w:w="1536" w:type="dxa"/>
            <w:gridSpan w:val="3"/>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p>
        </w:tc>
        <w:tc>
          <w:tcPr>
            <w:tcW w:w="0" w:type="dxa"/>
            <w:tcBorders>
              <w:top w:val="nil"/>
              <w:left w:val="nil"/>
              <w:bottom w:val="nil"/>
              <w:right w:val="nil"/>
            </w:tcBorders>
          </w:tcPr>
          <w:p>
            <w:pPr>
              <w:pStyle w:val="4"/>
            </w:pPr>
            <w:r>
              <w:rPr>
                <w:sz w:val="19"/>
              </w:rPr>
              <w:t xml:space="preserve"> </w:t>
            </w:r>
          </w:p>
        </w:tc>
      </w:tr>
    </w:tbl>
    <w:p>
      <w:pPr>
        <w:pStyle w:val="4"/>
        <w:ind w:firstLine="420"/>
        <w:jc w:val="both"/>
      </w:pPr>
      <w:r>
        <w:rPr>
          <w:b/>
          <w:color w:val="222222"/>
          <w:sz w:val="21"/>
          <w:shd w:val="clear" w:fill="FFFFFF"/>
        </w:rPr>
        <w:t>三、服务范围</w:t>
      </w:r>
    </w:p>
    <w:p>
      <w:pPr>
        <w:pStyle w:val="4"/>
        <w:ind w:firstLine="420"/>
        <w:jc w:val="both"/>
      </w:pPr>
      <w:r>
        <w:rPr>
          <w:color w:val="222222"/>
          <w:sz w:val="21"/>
          <w:shd w:val="clear" w:fill="FFFFFF"/>
        </w:rPr>
        <w:t>经双方协商，甲方委托乙方提供应用软件开发、接口服务、历史数据迁移服务、</w:t>
      </w:r>
      <w:r>
        <w:rPr>
          <w:color w:val="000000"/>
          <w:sz w:val="21"/>
          <w:shd w:val="clear" w:fill="FFFFFF"/>
        </w:rPr>
        <w:t>电子病历、互联互通测评支持服务，详见</w:t>
      </w:r>
      <w:r>
        <w:rPr>
          <w:color w:val="222222"/>
          <w:sz w:val="21"/>
          <w:shd w:val="clear" w:fill="FFFFFF"/>
        </w:rPr>
        <w:t>以下服务内容：</w:t>
      </w:r>
    </w:p>
    <w:p>
      <w:pPr>
        <w:pStyle w:val="4"/>
        <w:ind w:firstLine="420"/>
        <w:jc w:val="both"/>
      </w:pPr>
      <w:r>
        <w:rPr>
          <w:color w:val="222222"/>
          <w:sz w:val="21"/>
          <w:shd w:val="clear" w:fill="FFFFFF"/>
        </w:rPr>
        <w:t>1、应用软件开发</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16"/>
        <w:gridCol w:w="1257"/>
        <w:gridCol w:w="2091"/>
        <w:gridCol w:w="421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1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1"/>
              </w:rPr>
              <w:t>序号</w:t>
            </w:r>
          </w:p>
        </w:tc>
        <w:tc>
          <w:tcPr>
            <w:tcW w:w="125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1"/>
              </w:rPr>
              <w:t>分类</w:t>
            </w:r>
          </w:p>
        </w:tc>
        <w:tc>
          <w:tcPr>
            <w:tcW w:w="20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1"/>
              </w:rPr>
              <w:t>子系统</w:t>
            </w:r>
          </w:p>
        </w:tc>
        <w:tc>
          <w:tcPr>
            <w:tcW w:w="421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1"/>
              </w:rPr>
              <w:t>功能要求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color w:val="000000"/>
                <w:sz w:val="21"/>
              </w:rPr>
              <w:t>1</w:t>
            </w:r>
          </w:p>
        </w:tc>
        <w:tc>
          <w:tcPr>
            <w:tcW w:w="1257"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color w:val="000000"/>
                <w:sz w:val="21"/>
              </w:rPr>
              <w:t>基础管理</w:t>
            </w:r>
          </w:p>
        </w:tc>
        <w:tc>
          <w:tcPr>
            <w:tcW w:w="209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基础数据管理平台</w:t>
            </w: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基础数据管理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产品配置管理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权限管理系统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日志管理系统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基础数据导入导出系统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临床知识库管理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主要应用场景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基础平台</w:t>
            </w: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用户管理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代码表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界面编辑器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列编辑器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组件/菜单管理器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规则管理器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2</w:t>
            </w:r>
          </w:p>
        </w:tc>
        <w:tc>
          <w:tcPr>
            <w:tcW w:w="125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门(急)诊管理</w:t>
            </w:r>
          </w:p>
        </w:tc>
        <w:tc>
          <w:tcPr>
            <w:tcW w:w="209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一卡通管理系统</w:t>
            </w: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建卡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基本信息采集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数据质量控制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患者主索引注册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患者信息修改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卡信息合并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患者信息查询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卡管理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门诊预约挂号系统</w:t>
            </w: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门诊挂号/取号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诊间预约/加号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窗口预约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退号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预约管理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预约信息一览表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挂号查询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医生坐诊信息调整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排班模板维护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生成排班记录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出诊查询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停替诊查询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号源信息汇总</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黑名单维护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急诊预检分诊系统</w:t>
            </w: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患者列表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基本信息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其他信息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当前信息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来诊主诉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分诊分级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凭条打印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腕带打印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读取生命体征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修改挂号时间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群伤管理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重大事件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上传图片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干预措施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出租用品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分诊查询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门诊分诊排队叫号系统</w:t>
            </w: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医生实时出诊信息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分诊规则设置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信息获取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诊室分配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就诊排队干预</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时间段设置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就诊提醒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统计查询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门急诊挂号收费系统</w:t>
            </w: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门急诊预交金充值</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门急诊预交金退款</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门急诊账户结算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发票管理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补录费用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门急诊费用结算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锁定就诊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跳号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门急诊收费异常处理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发票集中打印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退费申请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退费审核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门急诊退费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医保业务处理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门急诊收据查询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打印患者费用清单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收费员日结</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收费员日结汇总</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门急诊发票管理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医技计费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门急诊医生工作站</w:t>
            </w: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自动获取信息和医嘱监控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历史就诊记录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核算功能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诊断录入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医嘱录入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检查检验申请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治疗申请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中草药录入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处方处理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绿色通道</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更新病人信息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一键打印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医疗质量控制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电子病历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医生服务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统计查询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其它</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门急诊输液管理</w:t>
            </w: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配液申请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接收申请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配伍审核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配液打签</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排药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核对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配置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复核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配液交接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配液综合查询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配液退药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移动门急诊配液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日间手术管理系统</w:t>
            </w: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开立住院证及院前检查检验医嘱</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交预住院押金</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执行检验检查医嘱</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日间手术麻醉术前评估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日间手术评估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日间手术正式确认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床位预约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麻醉及手术安排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转入住院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日间手术麻醉术后评估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日间手术出院评估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日间手术随访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门诊费用转住院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日间手术的相关统计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急诊留观系统</w:t>
            </w: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病人列表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信息总览</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诊断录入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医嘱录入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中草药录入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检查检验申请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过敏录入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医嘱查询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总览打印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检查查询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检验查询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办理住院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手术管理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急诊担保</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状态变更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修改分级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病情总览</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绿色通道</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预交金评估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急诊会诊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床旁交接班</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护士执行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医嘱需关注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补录医嘱</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病人状态查询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急诊床位图</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护士交接班</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体温单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急诊转科</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待入院管理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转住院交接单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病历浏览</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护理单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3</w:t>
            </w:r>
          </w:p>
        </w:tc>
        <w:tc>
          <w:tcPr>
            <w:tcW w:w="125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住院管理</w:t>
            </w:r>
          </w:p>
        </w:tc>
        <w:tc>
          <w:tcPr>
            <w:tcW w:w="209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住院收费系统</w:t>
            </w: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押金收据管理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住院发票管理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住院押金管理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出院管理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住院担保</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中途结算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“欠费/结存”结算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欠费患者转出与补交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住院费用核查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取消中途结算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出院结算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取消结算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打印押金催款单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打印病人费用明细单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打印病人每日费用明细单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打印病人预交金明细账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收款员日报表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住院收费查询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收费员日结</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收费员日结汇总</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医技收费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住院出入转管理</w:t>
            </w: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入院登记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退院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医保登记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取消医保登记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打印腕带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患者信息修改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患者信息修改查询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入院分床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入院撤销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医疗结算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最终结算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财务结算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出院召回</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补记账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出院患者账页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转科需关注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转科</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转病区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分床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转移记录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住院医生工作站</w:t>
            </w: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住院病人列表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信息总览</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诊断录入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检查检验申请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治疗申请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医嘱录入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中草药录入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诊疗计划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交班本</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住院护士工作站</w:t>
            </w: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床位图</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患者信息展示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查询统计提醒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基于床位的快捷操作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护士执行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领药审核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生命体征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医嘱单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需关注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标本运送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更新采血时间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出院召回</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费用调整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病区床位管理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分娩管理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费用管理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统计查询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住院静配中心系统</w:t>
            </w: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配液审核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配液排批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配液打签</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配液分签</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配液排药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贴签</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排药核对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舱内配置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出舱复核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装箱</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扫码送货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病区接收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病区核对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配液大屏显示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查询统计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住院准备中心系统</w:t>
            </w: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开住院证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预约登记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预约管理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住院登记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病区分配床位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病区床位管理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医嘱释放床位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4</w:t>
            </w:r>
          </w:p>
        </w:tc>
        <w:tc>
          <w:tcPr>
            <w:tcW w:w="125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药品管理</w:t>
            </w:r>
          </w:p>
        </w:tc>
        <w:tc>
          <w:tcPr>
            <w:tcW w:w="209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门急诊药房管理系统</w:t>
            </w: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配药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发药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退药申请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退药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发药查询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退药查询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工作量统计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日消耗查询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发药统计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住院药房管理系统</w:t>
            </w: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配药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发药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退药申请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退药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发药查询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退药查询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综合查询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药房工作量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发药统计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月报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药库管理系统</w:t>
            </w: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药品信息维护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调价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入库</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出库</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报损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盘点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多库房管理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有效期管理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呆滞管理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动销管理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入库统计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出库统计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月报管理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5</w:t>
            </w:r>
          </w:p>
        </w:tc>
        <w:tc>
          <w:tcPr>
            <w:tcW w:w="125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电子病历</w:t>
            </w:r>
          </w:p>
        </w:tc>
        <w:tc>
          <w:tcPr>
            <w:tcW w:w="20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结构化病历编辑器</w:t>
            </w: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结构化病历编辑器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门（急）诊电子病历系统</w:t>
            </w: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门（急）诊病历编辑</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病历模板库管理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系统配置管理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病历权限管理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自助机打印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门（急）诊病历补打</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住院电子病历系统</w:t>
            </w: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病历模板库管理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住院病历编辑</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电子病历浏览器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电子病历术语管理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系统配置管理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隐私保护管理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图片生成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护理电子病历系统</w:t>
            </w: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体温单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血糖单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评估单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中医专科评估单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电子病历质控系统</w:t>
            </w: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系统配置管理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病历质控提示列表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科室级质控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院级质控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质控报表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6</w:t>
            </w:r>
          </w:p>
        </w:tc>
        <w:tc>
          <w:tcPr>
            <w:tcW w:w="125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医技管理</w:t>
            </w:r>
          </w:p>
        </w:tc>
        <w:tc>
          <w:tcPr>
            <w:tcW w:w="209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医技计费管理系统</w:t>
            </w: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基本查询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执行批处理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执行补费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待检信息显示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受检顺序调整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补医嘱计费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附加医嘱计费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手术计费管理系统</w:t>
            </w: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门诊手术管理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住院手术管理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体检系统</w:t>
            </w: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网上预约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体检前台预约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分诊排队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体检采血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体检科室医生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体检收表管理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体检总检医生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体检报告系统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网上浏览体检报告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体检收费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体检卡管理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体检主任管理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体检高危信息查询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体检统计查询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职业病体检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体检数据设置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治疗管理系统</w:t>
            </w: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治疗申请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治疗分配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治疗预约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治疗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7</w:t>
            </w:r>
          </w:p>
        </w:tc>
        <w:tc>
          <w:tcPr>
            <w:tcW w:w="125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医疗管理</w:t>
            </w:r>
          </w:p>
        </w:tc>
        <w:tc>
          <w:tcPr>
            <w:tcW w:w="209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会诊管理系统</w:t>
            </w: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医生会诊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护士会诊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皮试管理系统</w:t>
            </w: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患者信息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皮试处理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皮试结果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皮试历史记录查询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皮试时间设置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用户设置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系统设置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消息管理平台子系统</w:t>
            </w: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基于消息的传递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支持同步和异步交互方式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基于消息内容的路由规则</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数据格式转换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值域转换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消息监控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临床路径管理系统</w:t>
            </w: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表单导入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表单维护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出入径管理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表单执行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添加变异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表单打印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查询统计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院感管理系统</w:t>
            </w: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系统配置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综合监测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医院感染报告管理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目标性监测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细菌耐药性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统计分析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手卫生依从性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横断面调查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环境卫生学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职业暴露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传染病管理上报系统</w:t>
            </w: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诊间填报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主动填报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报告查询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报告审核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报告导出和打印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传染病监控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医务管理系统</w:t>
            </w: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医务管理首页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医疗质量统计分析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医疗质量管理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医师人力资源管理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护理管理系统</w:t>
            </w: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护理档案管理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科室事务管理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护理工作量管理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人员动态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组织管理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护士长手册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护理教学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护理调查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科研管理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专业组</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实习进修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护理指标分析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基础数据维护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系统设置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护理质量管理系统</w:t>
            </w: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质控排班计划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质控任务发布</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质控检查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质控问题汇总</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质控统计分析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单病种上报管理系统</w:t>
            </w: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表单管理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表达式管理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出入组管理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统计分析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数据上报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过程质量监测与评价系统</w:t>
            </w: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病案首页事中质控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科室病案首页质控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院级病案首页质控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病案质控规则管理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病案首页质控数据报表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抗菌药物管理系统</w:t>
            </w: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抗菌抗肿瘤药物权限管理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抗菌抗肿瘤药物流程配置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抗菌抗肿瘤药物功能配置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抗菌药物联合用药管理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住院病案首页质量控制系统</w:t>
            </w: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用户管理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角色管理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部门管理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字典管理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菜单管理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系统配置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业务日志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登陆日志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监控管理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通知管理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代码生成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统一叫号系统</w:t>
            </w: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门诊挂号/取号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诊间预约/加号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窗口预约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退号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预约管理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预约信息一览表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挂号查询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医生坐诊信息调整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排班模板维护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生成排班记录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出诊查询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停替诊查询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号源信息汇总</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黑名单维护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疾病上报管理系统</w:t>
            </w: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报告填报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报告审核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报告导出和打印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查询统计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8</w:t>
            </w:r>
          </w:p>
        </w:tc>
        <w:tc>
          <w:tcPr>
            <w:tcW w:w="125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财务管理</w:t>
            </w:r>
          </w:p>
        </w:tc>
        <w:tc>
          <w:tcPr>
            <w:tcW w:w="209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人力资源管理系统</w:t>
            </w: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人事管理系统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培训管理系统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工资管理系统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考勤管理系统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财务票据管理</w:t>
            </w: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基础设置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票据管理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电子发票管理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备查簿管理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统计报表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成本核算管理系统</w:t>
            </w: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科室成本管理系统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项目成本管理系统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病种成本管理系统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会计核算系统</w:t>
            </w: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会计核算首页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凭证管理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自动凭证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账薄查询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往来账管理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出纳账管理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工资管理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期末处理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财务报表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固定资产管理系统</w:t>
            </w: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采购管理系统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库存管理系统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高值耗材管理系统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耐用品管理系统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医嘱核销系统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物资管理系统</w:t>
            </w: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医疗设备租赁中心系统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资产管理系统</w:t>
            </w:r>
            <w:r>
              <w:rPr>
                <w:sz w:val="21"/>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大型医疗设备效益分析系统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移动设备管理系统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综合查询系统</w:t>
            </w: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抗菌药物统计查询分析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统计室报表系统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院长查询系统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阳光用药系统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指标Cube系统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基础数据查询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统计查询套件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核算报表系统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财务报表系统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病案统计系统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三级医院绩效考核上报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9</w:t>
            </w:r>
          </w:p>
        </w:tc>
        <w:tc>
          <w:tcPr>
            <w:tcW w:w="125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智慧药学</w:t>
            </w:r>
          </w:p>
        </w:tc>
        <w:tc>
          <w:tcPr>
            <w:tcW w:w="209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前置审方系统</w:t>
            </w: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门诊开处方自动审核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门诊处方手工审核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门诊处方审核查询及申诉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住院开医嘱自动审核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住院医嘱手工审核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住院医嘱审核查询及申诉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合理用药管理系统</w:t>
            </w: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知识管理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数据映射</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结构化知识编辑</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个性化规则编辑</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知识策略管理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安全用药智能分析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知识检索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处方点评系统</w:t>
            </w: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生成点评单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分配点评任务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点评处方、点评医嘱</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查询统计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10</w:t>
            </w:r>
          </w:p>
        </w:tc>
        <w:tc>
          <w:tcPr>
            <w:tcW w:w="125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患者服务</w:t>
            </w:r>
          </w:p>
        </w:tc>
        <w:tc>
          <w:tcPr>
            <w:tcW w:w="209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全资源预约平台</w:t>
            </w: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统一床位预约管理系统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统一医技预约管理系统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统一手术预约管理系统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统一治疗预约系统系统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预约管理监控系统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系统管理平台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关联系统接口对接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互联网医院系统</w:t>
            </w: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互联网开放平台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互联网支付平台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消息平台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互联网医院患者微信小程序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互联网医院医生端APP应用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药品配送服务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互联网医院监管平台对接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移动公众号服务平台（含网约护士）</w:t>
            </w: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身份验证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医院+互联网服务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就诊信息查看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个人中心</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信息维护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诊间结算系统</w:t>
            </w: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补录费用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诊室结算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药房结算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医技科室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发票集中打印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床旁结算系统</w:t>
            </w: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中途结算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住院费用核查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取消中途结算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出院结算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取消结算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打印费用清单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发票集中打印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11</w:t>
            </w:r>
          </w:p>
        </w:tc>
        <w:tc>
          <w:tcPr>
            <w:tcW w:w="125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医护系统</w:t>
            </w:r>
          </w:p>
        </w:tc>
        <w:tc>
          <w:tcPr>
            <w:tcW w:w="209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移动医生系统</w:t>
            </w: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登录管理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会诊管理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抗生素管理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危急值管理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住院科室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病人信息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查看病人基本信息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诊断信息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查看病人诊断信息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诊断录入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查看病人医嘱信息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检验报告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查询检验列表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查询检验结果详情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查询单项检验结果折线图</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历次结果对比</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检查报告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查询检查列表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查看检查结果详情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tc>
        <w:tc>
          <w:tcPr>
            <w:tcW w:w="1257" w:type="dxa"/>
            <w:vMerge w:val="continue"/>
            <w:tcBorders>
              <w:top w:val="nil"/>
              <w:left w:val="single" w:color="000000" w:sz="4" w:space="0"/>
              <w:bottom w:val="single" w:color="000000" w:sz="4" w:space="0"/>
              <w:right w:val="single" w:color="000000" w:sz="4" w:space="0"/>
            </w:tcBorders>
          </w:tcPr>
          <w:p/>
        </w:tc>
        <w:tc>
          <w:tcPr>
            <w:tcW w:w="2091" w:type="dxa"/>
            <w:vMerge w:val="continue"/>
            <w:tcBorders>
              <w:top w:val="nil"/>
              <w:left w:val="single" w:color="000000" w:sz="4" w:space="0"/>
              <w:bottom w:val="single" w:color="000000" w:sz="4" w:space="0"/>
              <w:right w:val="single" w:color="000000" w:sz="4" w:space="0"/>
            </w:tcBorders>
          </w:tcPr>
          <w:p/>
        </w:tc>
        <w:tc>
          <w:tcPr>
            <w:tcW w:w="42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查看检查报告</w:t>
            </w:r>
          </w:p>
        </w:tc>
      </w:tr>
    </w:tbl>
    <w:p>
      <w:pPr>
        <w:pStyle w:val="4"/>
        <w:ind w:firstLine="420"/>
        <w:jc w:val="both"/>
      </w:pPr>
      <w:r>
        <w:rPr>
          <w:color w:val="222222"/>
          <w:sz w:val="21"/>
          <w:shd w:val="clear" w:fill="FFFFFF"/>
        </w:rPr>
        <w:t>2、接口服务</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28"/>
        <w:gridCol w:w="1535"/>
        <w:gridCol w:w="6112"/>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1"/>
              </w:rPr>
              <w:t>序号</w:t>
            </w:r>
          </w:p>
        </w:tc>
        <w:tc>
          <w:tcPr>
            <w:tcW w:w="15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1"/>
              </w:rPr>
              <w:t>分类</w:t>
            </w:r>
          </w:p>
        </w:tc>
        <w:tc>
          <w:tcPr>
            <w:tcW w:w="611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1"/>
              </w:rPr>
              <w:t>服务内容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1</w:t>
            </w:r>
          </w:p>
        </w:tc>
        <w:tc>
          <w:tcPr>
            <w:tcW w:w="153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接口服务</w:t>
            </w:r>
          </w:p>
        </w:tc>
        <w:tc>
          <w:tcPr>
            <w:tcW w:w="61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国家卫生统计网络直报系统接口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2</w:t>
            </w:r>
          </w:p>
        </w:tc>
        <w:tc>
          <w:tcPr>
            <w:tcW w:w="1535" w:type="dxa"/>
            <w:vMerge w:val="continue"/>
            <w:tcBorders>
              <w:top w:val="nil"/>
              <w:left w:val="single" w:color="000000" w:sz="4" w:space="0"/>
              <w:bottom w:val="single" w:color="000000" w:sz="4" w:space="0"/>
              <w:right w:val="single" w:color="000000" w:sz="4" w:space="0"/>
            </w:tcBorders>
          </w:tcPr>
          <w:p/>
        </w:tc>
        <w:tc>
          <w:tcPr>
            <w:tcW w:w="61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广东省远程医疗中心</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3</w:t>
            </w:r>
          </w:p>
        </w:tc>
        <w:tc>
          <w:tcPr>
            <w:tcW w:w="1535" w:type="dxa"/>
            <w:vMerge w:val="continue"/>
            <w:tcBorders>
              <w:top w:val="nil"/>
              <w:left w:val="single" w:color="000000" w:sz="4" w:space="0"/>
              <w:bottom w:val="single" w:color="000000" w:sz="4" w:space="0"/>
              <w:right w:val="single" w:color="000000" w:sz="4" w:space="0"/>
            </w:tcBorders>
          </w:tcPr>
          <w:p/>
        </w:tc>
        <w:tc>
          <w:tcPr>
            <w:tcW w:w="61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广东省妇幼健康信息平台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4</w:t>
            </w:r>
          </w:p>
        </w:tc>
        <w:tc>
          <w:tcPr>
            <w:tcW w:w="1535" w:type="dxa"/>
            <w:vMerge w:val="continue"/>
            <w:tcBorders>
              <w:top w:val="nil"/>
              <w:left w:val="single" w:color="000000" w:sz="4" w:space="0"/>
              <w:bottom w:val="single" w:color="000000" w:sz="4" w:space="0"/>
              <w:right w:val="single" w:color="000000" w:sz="4" w:space="0"/>
            </w:tcBorders>
          </w:tcPr>
          <w:p/>
        </w:tc>
        <w:tc>
          <w:tcPr>
            <w:tcW w:w="61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广东省电子健康码平台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5</w:t>
            </w:r>
          </w:p>
        </w:tc>
        <w:tc>
          <w:tcPr>
            <w:tcW w:w="1535" w:type="dxa"/>
            <w:vMerge w:val="continue"/>
            <w:tcBorders>
              <w:top w:val="nil"/>
              <w:left w:val="single" w:color="000000" w:sz="4" w:space="0"/>
              <w:bottom w:val="single" w:color="000000" w:sz="4" w:space="0"/>
              <w:right w:val="single" w:color="000000" w:sz="4" w:space="0"/>
            </w:tcBorders>
          </w:tcPr>
          <w:p/>
        </w:tc>
        <w:tc>
          <w:tcPr>
            <w:tcW w:w="61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与广东省病案系统对接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6</w:t>
            </w:r>
          </w:p>
        </w:tc>
        <w:tc>
          <w:tcPr>
            <w:tcW w:w="1535" w:type="dxa"/>
            <w:vMerge w:val="continue"/>
            <w:tcBorders>
              <w:top w:val="nil"/>
              <w:left w:val="single" w:color="000000" w:sz="4" w:space="0"/>
              <w:bottom w:val="single" w:color="000000" w:sz="4" w:space="0"/>
              <w:right w:val="single" w:color="000000" w:sz="4" w:space="0"/>
            </w:tcBorders>
          </w:tcPr>
          <w:p/>
        </w:tc>
        <w:tc>
          <w:tcPr>
            <w:tcW w:w="61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广东省基层医疗卫生机构管理信息系统接口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7</w:t>
            </w:r>
          </w:p>
        </w:tc>
        <w:tc>
          <w:tcPr>
            <w:tcW w:w="1535" w:type="dxa"/>
            <w:vMerge w:val="continue"/>
            <w:tcBorders>
              <w:top w:val="nil"/>
              <w:left w:val="single" w:color="000000" w:sz="4" w:space="0"/>
              <w:bottom w:val="single" w:color="000000" w:sz="4" w:space="0"/>
              <w:right w:val="single" w:color="000000" w:sz="4" w:space="0"/>
            </w:tcBorders>
          </w:tcPr>
          <w:p/>
        </w:tc>
        <w:tc>
          <w:tcPr>
            <w:tcW w:w="61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广东省“粤省事”接口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8</w:t>
            </w:r>
          </w:p>
        </w:tc>
        <w:tc>
          <w:tcPr>
            <w:tcW w:w="1535" w:type="dxa"/>
            <w:vMerge w:val="continue"/>
            <w:tcBorders>
              <w:top w:val="nil"/>
              <w:left w:val="single" w:color="000000" w:sz="4" w:space="0"/>
              <w:bottom w:val="single" w:color="000000" w:sz="4" w:space="0"/>
              <w:right w:val="single" w:color="000000" w:sz="4" w:space="0"/>
            </w:tcBorders>
          </w:tcPr>
          <w:p/>
        </w:tc>
        <w:tc>
          <w:tcPr>
            <w:tcW w:w="61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广东省财政电子票据系统接口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9</w:t>
            </w:r>
          </w:p>
        </w:tc>
        <w:tc>
          <w:tcPr>
            <w:tcW w:w="1535" w:type="dxa"/>
            <w:vMerge w:val="continue"/>
            <w:tcBorders>
              <w:top w:val="nil"/>
              <w:left w:val="single" w:color="000000" w:sz="4" w:space="0"/>
              <w:bottom w:val="single" w:color="000000" w:sz="4" w:space="0"/>
              <w:right w:val="single" w:color="000000" w:sz="4" w:space="0"/>
            </w:tcBorders>
          </w:tcPr>
          <w:p/>
        </w:tc>
        <w:tc>
          <w:tcPr>
            <w:tcW w:w="61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医保电子处方中心“双通道”业务实施两定机构接口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10</w:t>
            </w:r>
          </w:p>
        </w:tc>
        <w:tc>
          <w:tcPr>
            <w:tcW w:w="1535" w:type="dxa"/>
            <w:vMerge w:val="continue"/>
            <w:tcBorders>
              <w:top w:val="nil"/>
              <w:left w:val="single" w:color="000000" w:sz="4" w:space="0"/>
              <w:bottom w:val="single" w:color="000000" w:sz="4" w:space="0"/>
              <w:right w:val="single" w:color="000000" w:sz="4" w:space="0"/>
            </w:tcBorders>
          </w:tcPr>
          <w:p/>
        </w:tc>
        <w:tc>
          <w:tcPr>
            <w:tcW w:w="61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广东省检查检验结果互认共享平台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11</w:t>
            </w:r>
          </w:p>
        </w:tc>
        <w:tc>
          <w:tcPr>
            <w:tcW w:w="1535" w:type="dxa"/>
            <w:vMerge w:val="continue"/>
            <w:tcBorders>
              <w:top w:val="nil"/>
              <w:left w:val="single" w:color="000000" w:sz="4" w:space="0"/>
              <w:bottom w:val="single" w:color="000000" w:sz="4" w:space="0"/>
              <w:right w:val="single" w:color="000000" w:sz="4" w:space="0"/>
            </w:tcBorders>
          </w:tcPr>
          <w:p/>
        </w:tc>
        <w:tc>
          <w:tcPr>
            <w:tcW w:w="61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广东省食源性疾病病例监测直报接口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12</w:t>
            </w:r>
          </w:p>
        </w:tc>
        <w:tc>
          <w:tcPr>
            <w:tcW w:w="1535" w:type="dxa"/>
            <w:vMerge w:val="continue"/>
            <w:tcBorders>
              <w:top w:val="nil"/>
              <w:left w:val="single" w:color="000000" w:sz="4" w:space="0"/>
              <w:bottom w:val="single" w:color="000000" w:sz="4" w:space="0"/>
              <w:right w:val="single" w:color="000000" w:sz="4" w:space="0"/>
            </w:tcBorders>
          </w:tcPr>
          <w:p/>
        </w:tc>
        <w:tc>
          <w:tcPr>
            <w:tcW w:w="61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惠州市区域卫生信息平台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13</w:t>
            </w:r>
          </w:p>
        </w:tc>
        <w:tc>
          <w:tcPr>
            <w:tcW w:w="1535" w:type="dxa"/>
            <w:vMerge w:val="continue"/>
            <w:tcBorders>
              <w:top w:val="nil"/>
              <w:left w:val="single" w:color="000000" w:sz="4" w:space="0"/>
              <w:bottom w:val="single" w:color="000000" w:sz="4" w:space="0"/>
              <w:right w:val="single" w:color="000000" w:sz="4" w:space="0"/>
            </w:tcBorders>
          </w:tcPr>
          <w:p/>
        </w:tc>
        <w:tc>
          <w:tcPr>
            <w:tcW w:w="61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惠州市医疗保险信息管理系统接口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14</w:t>
            </w:r>
          </w:p>
        </w:tc>
        <w:tc>
          <w:tcPr>
            <w:tcW w:w="1535" w:type="dxa"/>
            <w:vMerge w:val="continue"/>
            <w:tcBorders>
              <w:top w:val="nil"/>
              <w:left w:val="single" w:color="000000" w:sz="4" w:space="0"/>
              <w:bottom w:val="single" w:color="000000" w:sz="4" w:space="0"/>
              <w:right w:val="single" w:color="000000" w:sz="4" w:space="0"/>
            </w:tcBorders>
          </w:tcPr>
          <w:p/>
        </w:tc>
        <w:tc>
          <w:tcPr>
            <w:tcW w:w="61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银行pos接口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15</w:t>
            </w:r>
          </w:p>
        </w:tc>
        <w:tc>
          <w:tcPr>
            <w:tcW w:w="1535" w:type="dxa"/>
            <w:vMerge w:val="continue"/>
            <w:tcBorders>
              <w:top w:val="nil"/>
              <w:left w:val="single" w:color="000000" w:sz="4" w:space="0"/>
              <w:bottom w:val="single" w:color="000000" w:sz="4" w:space="0"/>
              <w:right w:val="single" w:color="000000" w:sz="4" w:space="0"/>
            </w:tcBorders>
          </w:tcPr>
          <w:p/>
        </w:tc>
        <w:tc>
          <w:tcPr>
            <w:tcW w:w="61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自助机接口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16</w:t>
            </w:r>
          </w:p>
        </w:tc>
        <w:tc>
          <w:tcPr>
            <w:tcW w:w="1535" w:type="dxa"/>
            <w:vMerge w:val="continue"/>
            <w:tcBorders>
              <w:top w:val="nil"/>
              <w:left w:val="single" w:color="000000" w:sz="4" w:space="0"/>
              <w:bottom w:val="single" w:color="000000" w:sz="4" w:space="0"/>
              <w:right w:val="single" w:color="000000" w:sz="4" w:space="0"/>
            </w:tcBorders>
          </w:tcPr>
          <w:p/>
        </w:tc>
        <w:tc>
          <w:tcPr>
            <w:tcW w:w="61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院内其他设备接口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17</w:t>
            </w:r>
          </w:p>
        </w:tc>
        <w:tc>
          <w:tcPr>
            <w:tcW w:w="15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p>
        </w:tc>
        <w:tc>
          <w:tcPr>
            <w:tcW w:w="61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现有医院信息集成平台接口</w:t>
            </w:r>
          </w:p>
        </w:tc>
      </w:tr>
    </w:tbl>
    <w:p>
      <w:pPr>
        <w:pStyle w:val="4"/>
        <w:ind w:firstLine="420"/>
        <w:jc w:val="both"/>
      </w:pPr>
      <w:r>
        <w:rPr>
          <w:color w:val="222222"/>
          <w:sz w:val="21"/>
          <w:shd w:val="clear" w:fill="FFFFFF"/>
        </w:rPr>
        <w:t>3、医院历史数据迁移服务</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60"/>
        <w:gridCol w:w="1272"/>
        <w:gridCol w:w="2719"/>
        <w:gridCol w:w="350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1"/>
              </w:rPr>
              <w:t>序号</w:t>
            </w:r>
          </w:p>
        </w:tc>
        <w:tc>
          <w:tcPr>
            <w:tcW w:w="127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1"/>
              </w:rPr>
              <w:t>分类</w:t>
            </w:r>
          </w:p>
        </w:tc>
        <w:tc>
          <w:tcPr>
            <w:tcW w:w="271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1"/>
              </w:rPr>
              <w:t>服务项目</w:t>
            </w:r>
          </w:p>
        </w:tc>
        <w:tc>
          <w:tcPr>
            <w:tcW w:w="350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1"/>
              </w:rPr>
              <w:t>服务内容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1</w:t>
            </w:r>
          </w:p>
        </w:tc>
        <w:tc>
          <w:tcPr>
            <w:tcW w:w="127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医院历史数据迁移</w:t>
            </w:r>
          </w:p>
        </w:tc>
        <w:tc>
          <w:tcPr>
            <w:tcW w:w="27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医院HIS数据迁移</w:t>
            </w:r>
          </w:p>
        </w:tc>
        <w:tc>
          <w:tcPr>
            <w:tcW w:w="35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包括HIS数据现状分析、继承方式实施、继承后的校验等服务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2</w:t>
            </w:r>
          </w:p>
        </w:tc>
        <w:tc>
          <w:tcPr>
            <w:tcW w:w="1272" w:type="dxa"/>
            <w:vMerge w:val="continue"/>
            <w:tcBorders>
              <w:top w:val="nil"/>
              <w:left w:val="nil"/>
              <w:bottom w:val="single" w:color="000000" w:sz="4" w:space="0"/>
              <w:right w:val="single" w:color="000000" w:sz="4" w:space="0"/>
            </w:tcBorders>
          </w:tcPr>
          <w:p/>
        </w:tc>
        <w:tc>
          <w:tcPr>
            <w:tcW w:w="27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电子病历数据迁移</w:t>
            </w:r>
          </w:p>
        </w:tc>
        <w:tc>
          <w:tcPr>
            <w:tcW w:w="35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包括电子病历数据现状分析、继承方式实施、继承后的校验等服务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3</w:t>
            </w:r>
          </w:p>
        </w:tc>
        <w:tc>
          <w:tcPr>
            <w:tcW w:w="1272" w:type="dxa"/>
            <w:vMerge w:val="continue"/>
            <w:tcBorders>
              <w:top w:val="nil"/>
              <w:left w:val="nil"/>
              <w:bottom w:val="single" w:color="000000" w:sz="4" w:space="0"/>
              <w:right w:val="single" w:color="000000" w:sz="4" w:space="0"/>
            </w:tcBorders>
          </w:tcPr>
          <w:p/>
        </w:tc>
        <w:tc>
          <w:tcPr>
            <w:tcW w:w="27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医院其他系统数据迁移</w:t>
            </w:r>
          </w:p>
        </w:tc>
        <w:tc>
          <w:tcPr>
            <w:tcW w:w="35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包括其他系统数据现状分析、继承方式实施、继承后的校验等服务</w:t>
            </w:r>
          </w:p>
        </w:tc>
      </w:tr>
    </w:tbl>
    <w:p>
      <w:pPr>
        <w:pStyle w:val="4"/>
        <w:ind w:firstLine="420"/>
        <w:jc w:val="both"/>
      </w:pPr>
      <w:r>
        <w:rPr>
          <w:color w:val="222222"/>
          <w:sz w:val="21"/>
          <w:shd w:val="clear" w:fill="FFFFFF"/>
        </w:rPr>
        <w:t>4、电子病历、互联互通测评服务</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50"/>
        <w:gridCol w:w="2251"/>
        <w:gridCol w:w="508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1"/>
              </w:rPr>
              <w:t>序号</w:t>
            </w:r>
          </w:p>
        </w:tc>
        <w:tc>
          <w:tcPr>
            <w:tcW w:w="225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1"/>
              </w:rPr>
              <w:t>分类</w:t>
            </w:r>
          </w:p>
        </w:tc>
        <w:tc>
          <w:tcPr>
            <w:tcW w:w="508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1"/>
              </w:rPr>
              <w:t>服务内容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1</w:t>
            </w:r>
          </w:p>
        </w:tc>
        <w:tc>
          <w:tcPr>
            <w:tcW w:w="225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电子病历测评支持服务</w:t>
            </w:r>
          </w:p>
        </w:tc>
        <w:tc>
          <w:tcPr>
            <w:tcW w:w="50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数据质量工具应用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2</w:t>
            </w:r>
          </w:p>
        </w:tc>
        <w:tc>
          <w:tcPr>
            <w:tcW w:w="2251" w:type="dxa"/>
            <w:vMerge w:val="continue"/>
            <w:tcBorders>
              <w:top w:val="nil"/>
              <w:left w:val="single" w:color="000000" w:sz="4" w:space="0"/>
              <w:bottom w:val="single" w:color="000000" w:sz="4" w:space="0"/>
              <w:right w:val="single" w:color="000000" w:sz="4" w:space="0"/>
            </w:tcBorders>
          </w:tcPr>
          <w:p/>
        </w:tc>
        <w:tc>
          <w:tcPr>
            <w:tcW w:w="50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电子病历评级过程支持服务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3</w:t>
            </w:r>
          </w:p>
        </w:tc>
        <w:tc>
          <w:tcPr>
            <w:tcW w:w="2251" w:type="dxa"/>
            <w:vMerge w:val="continue"/>
            <w:tcBorders>
              <w:top w:val="nil"/>
              <w:left w:val="single" w:color="000000" w:sz="4" w:space="0"/>
              <w:bottom w:val="single" w:color="000000" w:sz="4" w:space="0"/>
              <w:right w:val="single" w:color="000000" w:sz="4" w:space="0"/>
            </w:tcBorders>
          </w:tcPr>
          <w:p/>
        </w:tc>
        <w:tc>
          <w:tcPr>
            <w:tcW w:w="50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项目差距调研分析评估服务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4</w:t>
            </w:r>
          </w:p>
        </w:tc>
        <w:tc>
          <w:tcPr>
            <w:tcW w:w="2251" w:type="dxa"/>
            <w:vMerge w:val="continue"/>
            <w:tcBorders>
              <w:top w:val="nil"/>
              <w:left w:val="single" w:color="000000" w:sz="4" w:space="0"/>
              <w:bottom w:val="single" w:color="000000" w:sz="4" w:space="0"/>
              <w:right w:val="single" w:color="000000" w:sz="4" w:space="0"/>
            </w:tcBorders>
          </w:tcPr>
          <w:p/>
        </w:tc>
        <w:tc>
          <w:tcPr>
            <w:tcW w:w="50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申报材料整理的指导和准备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5</w:t>
            </w:r>
          </w:p>
        </w:tc>
        <w:tc>
          <w:tcPr>
            <w:tcW w:w="2251" w:type="dxa"/>
            <w:vMerge w:val="continue"/>
            <w:tcBorders>
              <w:top w:val="nil"/>
              <w:left w:val="single" w:color="000000" w:sz="4" w:space="0"/>
              <w:bottom w:val="single" w:color="000000" w:sz="4" w:space="0"/>
              <w:right w:val="single" w:color="000000" w:sz="4" w:space="0"/>
            </w:tcBorders>
          </w:tcPr>
          <w:p/>
        </w:tc>
        <w:tc>
          <w:tcPr>
            <w:tcW w:w="50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网上申报支持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6</w:t>
            </w:r>
          </w:p>
        </w:tc>
        <w:tc>
          <w:tcPr>
            <w:tcW w:w="2251" w:type="dxa"/>
            <w:vMerge w:val="continue"/>
            <w:tcBorders>
              <w:top w:val="nil"/>
              <w:left w:val="single" w:color="000000" w:sz="4" w:space="0"/>
              <w:bottom w:val="single" w:color="000000" w:sz="4" w:space="0"/>
              <w:right w:val="single" w:color="000000" w:sz="4" w:space="0"/>
            </w:tcBorders>
          </w:tcPr>
          <w:p/>
        </w:tc>
        <w:tc>
          <w:tcPr>
            <w:tcW w:w="50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文审答辩支持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7</w:t>
            </w:r>
          </w:p>
        </w:tc>
        <w:tc>
          <w:tcPr>
            <w:tcW w:w="2251" w:type="dxa"/>
            <w:vMerge w:val="continue"/>
            <w:tcBorders>
              <w:top w:val="nil"/>
              <w:left w:val="single" w:color="000000" w:sz="4" w:space="0"/>
              <w:bottom w:val="single" w:color="000000" w:sz="4" w:space="0"/>
              <w:right w:val="single" w:color="000000" w:sz="4" w:space="0"/>
            </w:tcBorders>
          </w:tcPr>
          <w:p/>
        </w:tc>
        <w:tc>
          <w:tcPr>
            <w:tcW w:w="50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现场测评支持服务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8</w:t>
            </w:r>
          </w:p>
        </w:tc>
        <w:tc>
          <w:tcPr>
            <w:tcW w:w="225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互联互通测评支持服务</w:t>
            </w:r>
          </w:p>
        </w:tc>
        <w:tc>
          <w:tcPr>
            <w:tcW w:w="50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项目差距调研分析评估服务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9</w:t>
            </w:r>
          </w:p>
        </w:tc>
        <w:tc>
          <w:tcPr>
            <w:tcW w:w="2251" w:type="dxa"/>
            <w:vMerge w:val="continue"/>
            <w:tcBorders>
              <w:top w:val="nil"/>
              <w:left w:val="single" w:color="000000" w:sz="4" w:space="0"/>
              <w:bottom w:val="single" w:color="000000" w:sz="4" w:space="0"/>
              <w:right w:val="single" w:color="000000" w:sz="4" w:space="0"/>
            </w:tcBorders>
          </w:tcPr>
          <w:p/>
        </w:tc>
        <w:tc>
          <w:tcPr>
            <w:tcW w:w="50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申报材料整理的指导和准备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10</w:t>
            </w:r>
          </w:p>
        </w:tc>
        <w:tc>
          <w:tcPr>
            <w:tcW w:w="2251" w:type="dxa"/>
            <w:vMerge w:val="continue"/>
            <w:tcBorders>
              <w:top w:val="nil"/>
              <w:left w:val="single" w:color="000000" w:sz="4" w:space="0"/>
              <w:bottom w:val="single" w:color="000000" w:sz="4" w:space="0"/>
              <w:right w:val="single" w:color="000000" w:sz="4" w:space="0"/>
            </w:tcBorders>
          </w:tcPr>
          <w:p/>
        </w:tc>
        <w:tc>
          <w:tcPr>
            <w:tcW w:w="50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网上申报支持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11</w:t>
            </w:r>
          </w:p>
        </w:tc>
        <w:tc>
          <w:tcPr>
            <w:tcW w:w="2251" w:type="dxa"/>
            <w:vMerge w:val="continue"/>
            <w:tcBorders>
              <w:top w:val="nil"/>
              <w:left w:val="single" w:color="000000" w:sz="4" w:space="0"/>
              <w:bottom w:val="single" w:color="000000" w:sz="4" w:space="0"/>
              <w:right w:val="single" w:color="000000" w:sz="4" w:space="0"/>
            </w:tcBorders>
          </w:tcPr>
          <w:p/>
        </w:tc>
        <w:tc>
          <w:tcPr>
            <w:tcW w:w="50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文审答辩支持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12</w:t>
            </w:r>
          </w:p>
        </w:tc>
        <w:tc>
          <w:tcPr>
            <w:tcW w:w="2251" w:type="dxa"/>
            <w:vMerge w:val="continue"/>
            <w:tcBorders>
              <w:top w:val="nil"/>
              <w:left w:val="single" w:color="000000" w:sz="4" w:space="0"/>
              <w:bottom w:val="single" w:color="000000" w:sz="4" w:space="0"/>
              <w:right w:val="single" w:color="000000" w:sz="4" w:space="0"/>
            </w:tcBorders>
          </w:tcPr>
          <w:p/>
        </w:tc>
        <w:tc>
          <w:tcPr>
            <w:tcW w:w="50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现场测评支持服务</w:t>
            </w:r>
          </w:p>
        </w:tc>
      </w:tr>
    </w:tbl>
    <w:p>
      <w:pPr>
        <w:pStyle w:val="4"/>
        <w:ind w:firstLine="480"/>
        <w:jc w:val="both"/>
      </w:pPr>
      <w:r>
        <w:rPr>
          <w:color w:val="000000"/>
          <w:sz w:val="24"/>
          <w:shd w:val="clear" w:fill="FFFFFF"/>
        </w:rPr>
        <w:t>5、</w:t>
      </w:r>
      <w:r>
        <w:rPr>
          <w:b/>
          <w:color w:val="000000"/>
          <w:sz w:val="24"/>
          <w:shd w:val="clear" w:fill="FFFFFF"/>
        </w:rPr>
        <w:t>IT基础设施建设</w:t>
      </w:r>
    </w:p>
    <w:p>
      <w:pPr>
        <w:pStyle w:val="4"/>
        <w:ind w:firstLine="420"/>
        <w:jc w:val="both"/>
      </w:pPr>
      <w:r>
        <w:rPr>
          <w:color w:val="000000"/>
          <w:sz w:val="21"/>
          <w:shd w:val="clear" w:fill="FFFFFF"/>
        </w:rPr>
        <w:t>包括：核心业务集群、核心业务集群虚拟化软件、核心业务集群持续数据保护软件、核心业务集群虚拟化安全组件、DMZ服务区集群、DMZ服务区集群虚拟化软件、DMZ服务区持续数据保护软件、DMZ服务区虚拟化安全组件、网络交换机、分布式存储、备份一体机采购安装与调试</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16"/>
        <w:gridCol w:w="3315"/>
        <w:gridCol w:w="2452"/>
        <w:gridCol w:w="1014"/>
        <w:gridCol w:w="84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61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序号</w:t>
            </w:r>
          </w:p>
        </w:tc>
        <w:tc>
          <w:tcPr>
            <w:tcW w:w="3327"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4"/>
              <w:jc w:val="left"/>
            </w:pPr>
            <w:r>
              <w:rPr>
                <w:color w:val="000000"/>
                <w:sz w:val="21"/>
              </w:rPr>
              <w:t>名称</w:t>
            </w:r>
          </w:p>
        </w:tc>
        <w:tc>
          <w:tcPr>
            <w:tcW w:w="2461"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4"/>
              <w:jc w:val="left"/>
            </w:pPr>
            <w:r>
              <w:rPr>
                <w:color w:val="000000"/>
                <w:sz w:val="21"/>
              </w:rPr>
              <w:t>产品标准/主要服务内容(详见附表一)</w:t>
            </w:r>
          </w:p>
        </w:tc>
        <w:tc>
          <w:tcPr>
            <w:tcW w:w="1017"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数量</w:t>
            </w:r>
          </w:p>
        </w:tc>
        <w:tc>
          <w:tcPr>
            <w:tcW w:w="85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单位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8"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33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r>
              <w:rPr>
                <w:color w:val="000000"/>
                <w:sz w:val="21"/>
              </w:rPr>
              <w:t>核心业务集群</w:t>
            </w:r>
          </w:p>
        </w:tc>
        <w:tc>
          <w:tcPr>
            <w:tcW w:w="2461"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p>
        </w:tc>
        <w:tc>
          <w:tcPr>
            <w:tcW w:w="101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16</w:t>
            </w:r>
          </w:p>
        </w:tc>
        <w:tc>
          <w:tcPr>
            <w:tcW w:w="85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8"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2</w:t>
            </w:r>
          </w:p>
        </w:tc>
        <w:tc>
          <w:tcPr>
            <w:tcW w:w="33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r>
              <w:rPr>
                <w:color w:val="000000"/>
                <w:sz w:val="21"/>
              </w:rPr>
              <w:t>核心业务集群虚拟化软件</w:t>
            </w:r>
          </w:p>
        </w:tc>
        <w:tc>
          <w:tcPr>
            <w:tcW w:w="2461"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p>
        </w:tc>
        <w:tc>
          <w:tcPr>
            <w:tcW w:w="101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32</w:t>
            </w:r>
          </w:p>
        </w:tc>
        <w:tc>
          <w:tcPr>
            <w:tcW w:w="85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8"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3</w:t>
            </w:r>
          </w:p>
        </w:tc>
        <w:tc>
          <w:tcPr>
            <w:tcW w:w="33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r>
              <w:rPr>
                <w:color w:val="000000"/>
                <w:sz w:val="21"/>
              </w:rPr>
              <w:t>核心业务集群持续数据保护软件</w:t>
            </w:r>
          </w:p>
        </w:tc>
        <w:tc>
          <w:tcPr>
            <w:tcW w:w="2461"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p>
        </w:tc>
        <w:tc>
          <w:tcPr>
            <w:tcW w:w="101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85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8"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4</w:t>
            </w:r>
          </w:p>
        </w:tc>
        <w:tc>
          <w:tcPr>
            <w:tcW w:w="33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r>
              <w:rPr>
                <w:color w:val="000000"/>
                <w:sz w:val="21"/>
              </w:rPr>
              <w:t>核心业务集群虚拟化安全组件</w:t>
            </w:r>
          </w:p>
        </w:tc>
        <w:tc>
          <w:tcPr>
            <w:tcW w:w="2461"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p>
        </w:tc>
        <w:tc>
          <w:tcPr>
            <w:tcW w:w="101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85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8"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5</w:t>
            </w:r>
          </w:p>
        </w:tc>
        <w:tc>
          <w:tcPr>
            <w:tcW w:w="33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r>
              <w:rPr>
                <w:color w:val="000000"/>
                <w:sz w:val="21"/>
              </w:rPr>
              <w:t>核心业务集群—存储交换机</w:t>
            </w:r>
          </w:p>
        </w:tc>
        <w:tc>
          <w:tcPr>
            <w:tcW w:w="2461"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p>
        </w:tc>
        <w:tc>
          <w:tcPr>
            <w:tcW w:w="101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2</w:t>
            </w:r>
          </w:p>
        </w:tc>
        <w:tc>
          <w:tcPr>
            <w:tcW w:w="85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8"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6</w:t>
            </w:r>
          </w:p>
        </w:tc>
        <w:tc>
          <w:tcPr>
            <w:tcW w:w="33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r>
              <w:rPr>
                <w:color w:val="000000"/>
                <w:sz w:val="21"/>
              </w:rPr>
              <w:t>核心业务集群—业务交换机</w:t>
            </w:r>
          </w:p>
        </w:tc>
        <w:tc>
          <w:tcPr>
            <w:tcW w:w="2461"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p>
        </w:tc>
        <w:tc>
          <w:tcPr>
            <w:tcW w:w="101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2</w:t>
            </w:r>
          </w:p>
        </w:tc>
        <w:tc>
          <w:tcPr>
            <w:tcW w:w="85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8"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7</w:t>
            </w:r>
          </w:p>
        </w:tc>
        <w:tc>
          <w:tcPr>
            <w:tcW w:w="33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r>
              <w:rPr>
                <w:color w:val="000000"/>
                <w:sz w:val="21"/>
              </w:rPr>
              <w:t>核心业务集群—管理交换机</w:t>
            </w:r>
          </w:p>
        </w:tc>
        <w:tc>
          <w:tcPr>
            <w:tcW w:w="2461"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p>
        </w:tc>
        <w:tc>
          <w:tcPr>
            <w:tcW w:w="101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2</w:t>
            </w:r>
          </w:p>
        </w:tc>
        <w:tc>
          <w:tcPr>
            <w:tcW w:w="85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8"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8</w:t>
            </w:r>
          </w:p>
        </w:tc>
        <w:tc>
          <w:tcPr>
            <w:tcW w:w="33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r>
              <w:rPr>
                <w:color w:val="000000"/>
                <w:sz w:val="21"/>
              </w:rPr>
              <w:t>DMZ服务区集群</w:t>
            </w:r>
          </w:p>
        </w:tc>
        <w:tc>
          <w:tcPr>
            <w:tcW w:w="2461"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p>
        </w:tc>
        <w:tc>
          <w:tcPr>
            <w:tcW w:w="101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4</w:t>
            </w:r>
          </w:p>
        </w:tc>
        <w:tc>
          <w:tcPr>
            <w:tcW w:w="85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8"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9</w:t>
            </w:r>
          </w:p>
        </w:tc>
        <w:tc>
          <w:tcPr>
            <w:tcW w:w="33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r>
              <w:rPr>
                <w:color w:val="000000"/>
                <w:sz w:val="21"/>
              </w:rPr>
              <w:t>DMZ服务区集群虚拟化软件</w:t>
            </w:r>
          </w:p>
        </w:tc>
        <w:tc>
          <w:tcPr>
            <w:tcW w:w="2461"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p>
        </w:tc>
        <w:tc>
          <w:tcPr>
            <w:tcW w:w="101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8</w:t>
            </w:r>
          </w:p>
        </w:tc>
        <w:tc>
          <w:tcPr>
            <w:tcW w:w="85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8"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10</w:t>
            </w:r>
          </w:p>
        </w:tc>
        <w:tc>
          <w:tcPr>
            <w:tcW w:w="33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r>
              <w:rPr>
                <w:color w:val="000000"/>
                <w:sz w:val="21"/>
              </w:rPr>
              <w:t>DMZ服务区集群持续数据保护软件</w:t>
            </w:r>
          </w:p>
        </w:tc>
        <w:tc>
          <w:tcPr>
            <w:tcW w:w="2461"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p>
        </w:tc>
        <w:tc>
          <w:tcPr>
            <w:tcW w:w="101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85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8"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11</w:t>
            </w:r>
          </w:p>
        </w:tc>
        <w:tc>
          <w:tcPr>
            <w:tcW w:w="33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r>
              <w:rPr>
                <w:color w:val="000000"/>
                <w:sz w:val="21"/>
              </w:rPr>
              <w:t>DMZ服务区集群虚拟化安全组件</w:t>
            </w:r>
          </w:p>
        </w:tc>
        <w:tc>
          <w:tcPr>
            <w:tcW w:w="2461"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p>
        </w:tc>
        <w:tc>
          <w:tcPr>
            <w:tcW w:w="101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85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8"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12</w:t>
            </w:r>
          </w:p>
        </w:tc>
        <w:tc>
          <w:tcPr>
            <w:tcW w:w="33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r>
              <w:rPr>
                <w:color w:val="000000"/>
                <w:sz w:val="21"/>
              </w:rPr>
              <w:t>DMZ服务区集群—存储交换机</w:t>
            </w:r>
          </w:p>
        </w:tc>
        <w:tc>
          <w:tcPr>
            <w:tcW w:w="2461"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p>
        </w:tc>
        <w:tc>
          <w:tcPr>
            <w:tcW w:w="101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2</w:t>
            </w:r>
          </w:p>
        </w:tc>
        <w:tc>
          <w:tcPr>
            <w:tcW w:w="85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8"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13</w:t>
            </w:r>
          </w:p>
        </w:tc>
        <w:tc>
          <w:tcPr>
            <w:tcW w:w="33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r>
              <w:rPr>
                <w:color w:val="000000"/>
                <w:sz w:val="21"/>
              </w:rPr>
              <w:t>DMZ服务区集群—业务交换机</w:t>
            </w:r>
          </w:p>
        </w:tc>
        <w:tc>
          <w:tcPr>
            <w:tcW w:w="2461"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p>
        </w:tc>
        <w:tc>
          <w:tcPr>
            <w:tcW w:w="101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2</w:t>
            </w:r>
          </w:p>
        </w:tc>
        <w:tc>
          <w:tcPr>
            <w:tcW w:w="85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8"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14</w:t>
            </w:r>
          </w:p>
        </w:tc>
        <w:tc>
          <w:tcPr>
            <w:tcW w:w="33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r>
              <w:rPr>
                <w:color w:val="000000"/>
                <w:sz w:val="21"/>
              </w:rPr>
              <w:t>分布式存储</w:t>
            </w:r>
          </w:p>
        </w:tc>
        <w:tc>
          <w:tcPr>
            <w:tcW w:w="2461"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p>
        </w:tc>
        <w:tc>
          <w:tcPr>
            <w:tcW w:w="101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3</w:t>
            </w:r>
          </w:p>
        </w:tc>
        <w:tc>
          <w:tcPr>
            <w:tcW w:w="85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8"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15</w:t>
            </w:r>
          </w:p>
        </w:tc>
        <w:tc>
          <w:tcPr>
            <w:tcW w:w="33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r>
              <w:rPr>
                <w:color w:val="000000"/>
                <w:sz w:val="21"/>
              </w:rPr>
              <w:t>分布式存储—存储交换机</w:t>
            </w:r>
          </w:p>
        </w:tc>
        <w:tc>
          <w:tcPr>
            <w:tcW w:w="2461"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p>
        </w:tc>
        <w:tc>
          <w:tcPr>
            <w:tcW w:w="101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2</w:t>
            </w:r>
          </w:p>
        </w:tc>
        <w:tc>
          <w:tcPr>
            <w:tcW w:w="85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8"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16</w:t>
            </w:r>
          </w:p>
        </w:tc>
        <w:tc>
          <w:tcPr>
            <w:tcW w:w="33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r>
              <w:rPr>
                <w:color w:val="000000"/>
                <w:sz w:val="21"/>
              </w:rPr>
              <w:t>分布式存储—业务交换机</w:t>
            </w:r>
          </w:p>
        </w:tc>
        <w:tc>
          <w:tcPr>
            <w:tcW w:w="2461"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p>
        </w:tc>
        <w:tc>
          <w:tcPr>
            <w:tcW w:w="101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2</w:t>
            </w:r>
          </w:p>
        </w:tc>
        <w:tc>
          <w:tcPr>
            <w:tcW w:w="85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8"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17</w:t>
            </w:r>
          </w:p>
        </w:tc>
        <w:tc>
          <w:tcPr>
            <w:tcW w:w="33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r>
              <w:rPr>
                <w:color w:val="000000"/>
                <w:sz w:val="21"/>
              </w:rPr>
              <w:t>备份一体机</w:t>
            </w:r>
          </w:p>
        </w:tc>
        <w:tc>
          <w:tcPr>
            <w:tcW w:w="2461"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p>
        </w:tc>
        <w:tc>
          <w:tcPr>
            <w:tcW w:w="101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85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8"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18</w:t>
            </w:r>
          </w:p>
        </w:tc>
        <w:tc>
          <w:tcPr>
            <w:tcW w:w="332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r>
              <w:rPr>
                <w:color w:val="000000"/>
                <w:sz w:val="21"/>
              </w:rPr>
              <w:t>系统集成服务</w:t>
            </w:r>
          </w:p>
        </w:tc>
        <w:tc>
          <w:tcPr>
            <w:tcW w:w="2461"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left"/>
            </w:pPr>
          </w:p>
        </w:tc>
        <w:tc>
          <w:tcPr>
            <w:tcW w:w="1017"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1</w:t>
            </w:r>
          </w:p>
        </w:tc>
        <w:tc>
          <w:tcPr>
            <w:tcW w:w="852"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color w:val="000000"/>
                <w:sz w:val="21"/>
              </w:rPr>
              <w:t>项</w:t>
            </w:r>
          </w:p>
        </w:tc>
      </w:tr>
    </w:tbl>
    <w:p>
      <w:pPr>
        <w:pStyle w:val="4"/>
        <w:ind w:left="210" w:firstLine="200"/>
        <w:jc w:val="both"/>
      </w:pPr>
      <w:r>
        <w:rPr>
          <w:b/>
          <w:color w:val="222222"/>
          <w:sz w:val="21"/>
          <w:shd w:val="clear" w:fill="FFFFFF"/>
        </w:rPr>
        <w:t>四、付款方式</w:t>
      </w:r>
    </w:p>
    <w:p>
      <w:pPr>
        <w:pStyle w:val="4"/>
        <w:jc w:val="left"/>
      </w:pPr>
      <w:r>
        <w:rPr>
          <w:sz w:val="21"/>
        </w:rPr>
        <w:t>支付期次如下：</w:t>
      </w:r>
    </w:p>
    <w:p>
      <w:pPr>
        <w:pStyle w:val="4"/>
        <w:jc w:val="left"/>
      </w:pPr>
      <w:r>
        <w:rPr>
          <w:sz w:val="24"/>
        </w:rPr>
        <w:t>（</w:t>
      </w:r>
      <w:r>
        <w:rPr>
          <w:sz w:val="21"/>
        </w:rPr>
        <w:t>1）应用软件开发：签订合同后，收到乙方合格的发票10个工作日内支付应用软件开发合计金额的30%作为预付款；各子系统上线后，收到乙方合格的发票30个工作日内支付相应子系统金额的30%作为进度款；初验合格后，收到乙方合格的发票30个工作日内支付相应子系统金额的35%；试运行验合格后启动终验（合计试运行三个月），终验合格后，收到乙方合格的发票30个工作日内支付相应子系统金额的5%；</w:t>
      </w:r>
    </w:p>
    <w:p>
      <w:pPr>
        <w:pStyle w:val="4"/>
        <w:ind w:left="15" w:firstLine="199"/>
        <w:jc w:val="left"/>
      </w:pPr>
      <w:r>
        <w:rPr>
          <w:color w:val="000000"/>
          <w:sz w:val="21"/>
        </w:rPr>
        <w:t>（2）接口服务、历史数据迁移服务：签订合同后，收到乙方合格发票10个工作日内支付接口服务、历史数据迁移服务合计金额的30%作为预付款：各服务内容项上线后，收到乙方合格的发票30个工作日内支付相应内容项金额的30%作为进度款；初验合格后，收到乙方合格的发票30个工作日内支付相应内容项金额的35%；试运行验合格后启动终验（合计试运行三个月），收到乙方合格的发票，30个工作日内支付相应子系统金额的5%。</w:t>
      </w:r>
    </w:p>
    <w:p>
      <w:pPr>
        <w:pStyle w:val="4"/>
        <w:ind w:left="15" w:firstLine="199"/>
        <w:jc w:val="left"/>
      </w:pPr>
      <w:r>
        <w:rPr>
          <w:color w:val="000000"/>
          <w:sz w:val="21"/>
        </w:rPr>
        <w:t>（3）电子病历、互联互通测评支持服务:签订合同后，收到乙方合格发票10个工作日内支付电子病历、互联互通测评支持服务合计金额的30%作为预付款;顺利通过电子病历、互联互通测评后，收到乙方合格的发票30个工作日内支付相应内容项金额的70%。</w:t>
      </w:r>
    </w:p>
    <w:p>
      <w:pPr>
        <w:pStyle w:val="4"/>
        <w:ind w:left="15" w:firstLine="199"/>
        <w:jc w:val="left"/>
      </w:pPr>
      <w:r>
        <w:rPr>
          <w:color w:val="000000"/>
          <w:sz w:val="21"/>
        </w:rPr>
        <w:t>（4）IT基础设施建设:签订合同后，收到中标人合格的发票10个工作日内支付IT基础设施建设合计金额的30%作为预付款;IT基础设施设备清单全部安装、配置、调试并上线稳定运行，通过初验后，采购人在收到中标人合格的发票，30个工作日内向中标人支付IT基础设施建设清单金额的50%;项目上线运行三个月通过终验合格后，采购人在收到中标人合格的发票后，30个工作日内支付IT基础设施建设清单金额的20%。</w:t>
      </w:r>
    </w:p>
    <w:p>
      <w:pPr>
        <w:pStyle w:val="4"/>
        <w:ind w:left="15" w:firstLine="199"/>
        <w:jc w:val="left"/>
      </w:pPr>
      <w:r>
        <w:rPr>
          <w:color w:val="000000"/>
          <w:sz w:val="21"/>
        </w:rPr>
        <w:t>（5）支付方式采用银行转账支付。</w:t>
      </w:r>
    </w:p>
    <w:p>
      <w:pPr>
        <w:pStyle w:val="4"/>
        <w:ind w:firstLine="218"/>
        <w:jc w:val="both"/>
      </w:pPr>
      <w:r>
        <w:rPr>
          <w:color w:val="000000"/>
          <w:sz w:val="21"/>
          <w:shd w:val="clear" w:fill="FFFFFF"/>
        </w:rPr>
        <w:t>（6）如甲方使用的是财政资金，付款时间最终以财政拨付的时间为准。甲方不承担因财政资金不能及时到位给乙方造成的任何损失。</w:t>
      </w:r>
    </w:p>
    <w:p>
      <w:pPr>
        <w:pStyle w:val="4"/>
        <w:ind w:left="420" w:firstLine="200"/>
        <w:jc w:val="both"/>
      </w:pPr>
      <w:r>
        <w:rPr>
          <w:b/>
          <w:color w:val="000000"/>
          <w:sz w:val="21"/>
          <w:shd w:val="clear" w:fill="FFFFFF"/>
        </w:rPr>
        <w:t>五、甲方乙方的权利和义务</w:t>
      </w:r>
    </w:p>
    <w:p>
      <w:pPr>
        <w:pStyle w:val="4"/>
        <w:ind w:firstLine="420"/>
        <w:jc w:val="both"/>
      </w:pPr>
      <w:r>
        <w:rPr>
          <w:color w:val="000000"/>
          <w:sz w:val="21"/>
          <w:shd w:val="clear" w:fill="FFFFFF"/>
        </w:rPr>
        <w:t>1.甲方的权利和义务</w:t>
      </w:r>
    </w:p>
    <w:p>
      <w:pPr>
        <w:pStyle w:val="4"/>
        <w:ind w:firstLine="420"/>
        <w:jc w:val="left"/>
      </w:pPr>
      <w:r>
        <w:rPr>
          <w:color w:val="000000"/>
          <w:sz w:val="21"/>
        </w:rPr>
        <w:t>（1）按本合同约定向乙方支付进度款。</w:t>
      </w:r>
    </w:p>
    <w:p>
      <w:pPr>
        <w:pStyle w:val="4"/>
        <w:ind w:firstLine="420"/>
        <w:jc w:val="left"/>
      </w:pPr>
      <w:r>
        <w:rPr>
          <w:color w:val="000000"/>
          <w:sz w:val="21"/>
        </w:rPr>
        <w:t>（2）审核乙方编制的项目总进度计划，对本项目实施管理监督，检查项目质量、进度，协调与其他部门的配合。</w:t>
      </w:r>
    </w:p>
    <w:p>
      <w:pPr>
        <w:pStyle w:val="4"/>
        <w:ind w:firstLine="420"/>
        <w:jc w:val="left"/>
      </w:pPr>
      <w:r>
        <w:rPr>
          <w:color w:val="000000"/>
          <w:sz w:val="21"/>
        </w:rPr>
        <w:t>（3）甲方向乙方项目组提供合理的、必需的、必要的工作环境，具体指固定的办公场所、办公所需的计算机设备、Internet接入端口、直拨电话、桌椅、打印机设备等。</w:t>
      </w:r>
    </w:p>
    <w:p>
      <w:pPr>
        <w:pStyle w:val="4"/>
        <w:ind w:firstLine="420"/>
        <w:jc w:val="left"/>
      </w:pPr>
      <w:r>
        <w:rPr>
          <w:color w:val="000000"/>
          <w:sz w:val="21"/>
        </w:rPr>
        <w:t>（4）组织技术交底和会审，组织项目分项验收。</w:t>
      </w:r>
    </w:p>
    <w:p>
      <w:pPr>
        <w:pStyle w:val="4"/>
        <w:jc w:val="both"/>
      </w:pPr>
      <w:r>
        <w:rPr>
          <w:color w:val="222222"/>
          <w:sz w:val="21"/>
          <w:shd w:val="clear" w:fill="FFFFFF"/>
        </w:rPr>
        <w:t>2.乙方的权利和义务</w:t>
      </w:r>
    </w:p>
    <w:p>
      <w:pPr>
        <w:pStyle w:val="4"/>
        <w:ind w:firstLine="420"/>
        <w:jc w:val="left"/>
      </w:pPr>
      <w:r>
        <w:rPr>
          <w:color w:val="000000"/>
          <w:sz w:val="21"/>
        </w:rPr>
        <w:t>（1）合同签订后，乙方应在10天内完成需开工项目的需求调研、需求分析，形成该子项目的系统需求说明书和详细实施方案，并提交甲方或监理公司审核。</w:t>
      </w:r>
    </w:p>
    <w:p>
      <w:pPr>
        <w:pStyle w:val="4"/>
        <w:ind w:firstLine="420"/>
        <w:jc w:val="left"/>
      </w:pPr>
      <w:r>
        <w:rPr>
          <w:color w:val="000000"/>
          <w:sz w:val="21"/>
        </w:rPr>
        <w:t>（2）根据甲方或监理公司审核后的系统需求说明书和详细实施方案，乙方对合同中的应用软件系统进行本地化配置和本地化开发以满足甲方的要求。</w:t>
      </w:r>
    </w:p>
    <w:p>
      <w:pPr>
        <w:pStyle w:val="4"/>
        <w:ind w:firstLine="420"/>
        <w:jc w:val="left"/>
      </w:pPr>
      <w:r>
        <w:rPr>
          <w:color w:val="000000"/>
          <w:sz w:val="21"/>
        </w:rPr>
        <w:t>（3）遵守医院对现场和人员管理的规定。</w:t>
      </w:r>
    </w:p>
    <w:p>
      <w:pPr>
        <w:pStyle w:val="4"/>
        <w:ind w:firstLine="420"/>
        <w:jc w:val="left"/>
      </w:pPr>
      <w:r>
        <w:rPr>
          <w:color w:val="000000"/>
          <w:sz w:val="21"/>
        </w:rPr>
        <w:t>（4）项目在实施期间，未经甲方同意，乙方不得随意更换、调用项目主管。项目主管负责项目的实施计划、资源协调、开发计划等，同时还负责乙方所有在现场工程师的行政和技术管理。</w:t>
      </w:r>
    </w:p>
    <w:p>
      <w:pPr>
        <w:pStyle w:val="4"/>
        <w:ind w:firstLine="420"/>
        <w:jc w:val="left"/>
      </w:pPr>
      <w:r>
        <w:rPr>
          <w:color w:val="000000"/>
          <w:sz w:val="21"/>
        </w:rPr>
        <w:t>（5）项目系统上线前乙方负责完成对甲方相关人员进行培训。</w:t>
      </w:r>
    </w:p>
    <w:p>
      <w:pPr>
        <w:pStyle w:val="4"/>
        <w:ind w:firstLine="420"/>
        <w:jc w:val="left"/>
      </w:pPr>
      <w:r>
        <w:rPr>
          <w:color w:val="000000"/>
          <w:sz w:val="21"/>
        </w:rPr>
        <w:t>（6）项目竣工后甲方组织验收，在通过验收后15日内，乙方向甲方提供竣工资料并附上资料目录清单。</w:t>
      </w:r>
    </w:p>
    <w:p>
      <w:pPr>
        <w:pStyle w:val="4"/>
        <w:jc w:val="both"/>
      </w:pPr>
      <w:r>
        <w:rPr>
          <w:b/>
          <w:color w:val="222222"/>
          <w:sz w:val="21"/>
          <w:shd w:val="clear" w:fill="FFFFFF"/>
        </w:rPr>
        <w:t>六、项目工期</w:t>
      </w:r>
    </w:p>
    <w:p>
      <w:pPr>
        <w:pStyle w:val="4"/>
        <w:ind w:firstLine="420"/>
        <w:jc w:val="both"/>
      </w:pPr>
      <w:r>
        <w:rPr>
          <w:color w:val="000000"/>
          <w:sz w:val="21"/>
        </w:rPr>
        <w:t>1.项目工期：本项目总工期：</w:t>
      </w:r>
      <w:r>
        <w:rPr>
          <w:color w:val="000000"/>
          <w:sz w:val="21"/>
          <w:u w:val="single"/>
        </w:rPr>
        <w:t xml:space="preserve">          天</w:t>
      </w:r>
      <w:r>
        <w:rPr>
          <w:color w:val="000000"/>
          <w:sz w:val="21"/>
        </w:rPr>
        <w:t>，自合同签订日期开始。服务期内，乙方将完成合同产品的交付、验收、永久许可发放等。</w:t>
      </w:r>
    </w:p>
    <w:p>
      <w:pPr>
        <w:pStyle w:val="4"/>
        <w:ind w:firstLine="420"/>
        <w:jc w:val="both"/>
      </w:pPr>
      <w:r>
        <w:rPr>
          <w:color w:val="000000"/>
          <w:sz w:val="21"/>
        </w:rPr>
        <w:t>2.地点：甲方指定的地点。</w:t>
      </w:r>
    </w:p>
    <w:p>
      <w:pPr>
        <w:pStyle w:val="4"/>
        <w:ind w:left="420" w:firstLine="200"/>
        <w:jc w:val="both"/>
      </w:pPr>
      <w:r>
        <w:rPr>
          <w:b/>
          <w:color w:val="000000"/>
          <w:sz w:val="21"/>
          <w:shd w:val="clear" w:fill="FFFFFF"/>
        </w:rPr>
        <w:t>七、验收要求</w:t>
      </w:r>
    </w:p>
    <w:p>
      <w:pPr>
        <w:pStyle w:val="4"/>
        <w:jc w:val="left"/>
      </w:pPr>
      <w:r>
        <w:rPr>
          <w:sz w:val="21"/>
        </w:rPr>
        <w:t xml:space="preserve">1.甲方组成验收小组按国家有关规定规范进行验收（包含第三方测评等专业验收测评），必要时邀请相关的专业人员或机构参与验收。对本项目的所有系统功能和各项性能指标进行检验。如发现系统功能和性能指标等任何一项与合同、招标文件要求规定不符的，甲方有权拒绝接受。  </w:t>
      </w:r>
    </w:p>
    <w:p>
      <w:pPr>
        <w:pStyle w:val="4"/>
        <w:jc w:val="left"/>
      </w:pPr>
      <w:r>
        <w:rPr>
          <w:sz w:val="21"/>
        </w:rPr>
        <w:t>2.项目验收需满足电子病历四级，互联互通四甲，医院三甲要求；</w:t>
      </w:r>
    </w:p>
    <w:p>
      <w:pPr>
        <w:pStyle w:val="4"/>
        <w:ind w:left="420"/>
        <w:jc w:val="both"/>
      </w:pPr>
      <w:r>
        <w:rPr>
          <w:color w:val="000000"/>
          <w:sz w:val="21"/>
          <w:shd w:val="clear" w:fill="FFFFFF"/>
        </w:rPr>
        <w:t>3.乙方应负责在项目验收时将系统的全部有关产品说明书、原厂家安装手册、技术文件、资料及安装、验收报告等文档汇集成册交付设备使用单位。</w:t>
      </w:r>
    </w:p>
    <w:p>
      <w:pPr>
        <w:pStyle w:val="4"/>
        <w:ind w:firstLine="420"/>
        <w:jc w:val="left"/>
      </w:pPr>
      <w:r>
        <w:rPr>
          <w:color w:val="000000"/>
          <w:sz w:val="21"/>
        </w:rPr>
        <w:t>（1）甲方组成验收小组按国家有关规定规范以及惠州市第二妇幼保健院验收规定进行验收（包含第三方测评等专业验收测评），必要时邀请相关的专业人员或机构参与验收。对本项目的所有硬件设备、系统功能和各项性能指标进行检验。如发现硬件设备、系统功能和性能指标等任何一项与合同、招标文件要求规定不符的，甲方有权拒绝接受。因货物质量问题发生争议时，由本地质量技术监督部门鉴定。货物符合质量技术标准的，鉴定费由甲方承担；否则鉴定费由乙方承担；</w:t>
      </w:r>
    </w:p>
    <w:p>
      <w:pPr>
        <w:pStyle w:val="4"/>
        <w:ind w:firstLine="420"/>
        <w:jc w:val="left"/>
      </w:pPr>
      <w:r>
        <w:rPr>
          <w:color w:val="000000"/>
          <w:sz w:val="21"/>
        </w:rPr>
        <w:t>（2）乙方未按照附表一所列具体内容向甲方提供项目服务，或乙方所提供的项目服务未能达附表一所列标准的，甲方有权要求乙方对提供的项目服务进行改进。乙方应在收到甲方的要求后15日内进行改进，并将改进结果通知甲方。如果乙方在15日内进行了改进，但改进结果仍未能满足甲方的标准，乙方应在收到甲方的要求后30日内进行进一步改进，并在该期限内评估改进效果。如果经过合理期限的改进仍未满足甲方的要求，甲方应在通知乙方后10天内决定是否继续履行合同。如果甲方选择不继续履行合同的，甲方无需承担违约责任，只需向乙方说明原因；乙方应在不影响其他合同义务的前提下，将甲方已支付的服务款项相应地扣除乙方未能按约提供服务部分的价值后，退还给甲方。</w:t>
      </w:r>
    </w:p>
    <w:p>
      <w:pPr>
        <w:pStyle w:val="4"/>
        <w:ind w:firstLine="420"/>
        <w:jc w:val="left"/>
      </w:pPr>
      <w:r>
        <w:rPr>
          <w:color w:val="000000"/>
          <w:sz w:val="21"/>
        </w:rPr>
        <w:t>（3）项目验收需实现电子病历四级，互联互通四甲，医院三甲目标；</w:t>
      </w:r>
    </w:p>
    <w:p>
      <w:pPr>
        <w:pStyle w:val="4"/>
        <w:ind w:firstLine="420"/>
        <w:jc w:val="left"/>
      </w:pPr>
      <w:r>
        <w:rPr>
          <w:color w:val="000000"/>
          <w:sz w:val="21"/>
        </w:rPr>
        <w:t>（4）所有设备、器材在开箱时必须完好，无破损，配置与装箱单相符，数量、质量及性能不低于招标要求。</w:t>
      </w:r>
    </w:p>
    <w:p>
      <w:pPr>
        <w:pStyle w:val="4"/>
        <w:ind w:firstLine="420"/>
        <w:jc w:val="left"/>
      </w:pPr>
      <w:r>
        <w:rPr>
          <w:color w:val="000000"/>
          <w:sz w:val="21"/>
        </w:rPr>
        <w:t>（5）拆箱后，中标供应商应对其全部产品、零件、配件、用户许可证书、资料、介质造册登记，登记册作为验收文档之一；</w:t>
      </w:r>
    </w:p>
    <w:p>
      <w:pPr>
        <w:pStyle w:val="4"/>
        <w:ind w:firstLine="420"/>
        <w:jc w:val="left"/>
      </w:pPr>
      <w:r>
        <w:rPr>
          <w:color w:val="000000"/>
          <w:sz w:val="21"/>
        </w:rPr>
        <w:t>（6）中标供应商应负责在项目验收时将系统的全部有关产品说明书、原厂家安装手册、技术文件、资料及安装、验收报告等文档汇集成册交付设备使用单位。</w:t>
      </w:r>
    </w:p>
    <w:p>
      <w:pPr>
        <w:pStyle w:val="4"/>
        <w:ind w:left="420" w:firstLine="200"/>
        <w:jc w:val="both"/>
      </w:pPr>
      <w:r>
        <w:rPr>
          <w:b/>
          <w:color w:val="000000"/>
          <w:sz w:val="21"/>
          <w:shd w:val="clear" w:fill="FFFFFF"/>
        </w:rPr>
        <w:t>八、质保期及售后服务要求</w:t>
      </w:r>
    </w:p>
    <w:p>
      <w:pPr>
        <w:pStyle w:val="4"/>
        <w:ind w:firstLine="420"/>
        <w:jc w:val="left"/>
      </w:pPr>
      <w:r>
        <w:rPr>
          <w:color w:val="000000"/>
          <w:sz w:val="21"/>
        </w:rPr>
        <w:t>1.免费质保期：本项目的免费质保期为自本项目整体验收，双方签字之日起，软件</w:t>
      </w:r>
      <w:r>
        <w:rPr>
          <w:color w:val="000000"/>
          <w:sz w:val="20"/>
        </w:rPr>
        <w:t xml:space="preserve">   </w:t>
      </w:r>
      <w:r>
        <w:rPr>
          <w:color w:val="000000"/>
          <w:sz w:val="21"/>
        </w:rPr>
        <w:t>年、硬件</w:t>
      </w:r>
      <w:r>
        <w:rPr>
          <w:color w:val="000000"/>
          <w:sz w:val="20"/>
        </w:rPr>
        <w:t xml:space="preserve">   </w:t>
      </w:r>
      <w:r>
        <w:rPr>
          <w:color w:val="000000"/>
          <w:sz w:val="21"/>
        </w:rPr>
        <w:t>年的免费维护服务（人为因素除外），软件缺陷终生免费修复。</w:t>
      </w:r>
    </w:p>
    <w:p>
      <w:pPr>
        <w:pStyle w:val="4"/>
        <w:ind w:firstLine="420"/>
        <w:jc w:val="left"/>
      </w:pPr>
      <w:r>
        <w:rPr>
          <w:color w:val="000000"/>
          <w:sz w:val="21"/>
        </w:rPr>
        <w:t>2.售后服务：</w:t>
      </w:r>
    </w:p>
    <w:p>
      <w:pPr>
        <w:pStyle w:val="4"/>
        <w:ind w:firstLine="420"/>
        <w:jc w:val="left"/>
      </w:pPr>
      <w:r>
        <w:rPr>
          <w:color w:val="000000"/>
          <w:sz w:val="21"/>
        </w:rPr>
        <w:t>（1）乙方免费提供与系统有关的技术支持服务，保障甲方系统的顺利运行。</w:t>
      </w:r>
    </w:p>
    <w:p>
      <w:pPr>
        <w:pStyle w:val="4"/>
        <w:ind w:firstLine="420"/>
        <w:jc w:val="left"/>
      </w:pPr>
      <w:r>
        <w:rPr>
          <w:color w:val="000000"/>
          <w:sz w:val="21"/>
        </w:rPr>
        <w:t>（2）提供不少于2名驻场人员工作日时间的服务；</w:t>
      </w:r>
    </w:p>
    <w:p>
      <w:pPr>
        <w:pStyle w:val="4"/>
        <w:ind w:firstLine="420"/>
        <w:jc w:val="left"/>
      </w:pPr>
      <w:r>
        <w:rPr>
          <w:color w:val="000000"/>
          <w:sz w:val="21"/>
        </w:rPr>
        <w:t>（3）标准电话技术支持（7天×24小×365天），服务期内乙方接到报障通知后30分钟内响应，2小时内到达现场，除特殊情况外，故障排除时间不超过 24 小时。</w:t>
      </w:r>
    </w:p>
    <w:p>
      <w:pPr>
        <w:pStyle w:val="4"/>
        <w:ind w:firstLine="420"/>
        <w:jc w:val="left"/>
      </w:pPr>
      <w:r>
        <w:rPr>
          <w:color w:val="000000"/>
          <w:sz w:val="21"/>
        </w:rPr>
        <w:t>（4）投标人负责培训甲方的使用人员，直至掌握系统的操作、日常维护及简单维修方法。</w:t>
      </w:r>
    </w:p>
    <w:p>
      <w:pPr>
        <w:pStyle w:val="4"/>
        <w:ind w:left="420" w:firstLine="200"/>
        <w:jc w:val="both"/>
      </w:pPr>
      <w:r>
        <w:rPr>
          <w:b/>
          <w:color w:val="222222"/>
          <w:sz w:val="21"/>
          <w:shd w:val="clear" w:fill="FFFFFF"/>
        </w:rPr>
        <w:t>九、知识产权归属</w:t>
      </w:r>
    </w:p>
    <w:p>
      <w:pPr>
        <w:pStyle w:val="4"/>
        <w:ind w:firstLine="420"/>
        <w:jc w:val="both"/>
      </w:pPr>
      <w:r>
        <w:rPr>
          <w:sz w:val="21"/>
          <w:shd w:val="clear" w:fill="FFFFFF"/>
        </w:rPr>
        <w:t>1.本项目的所有权归甲方所有，乙方在项目建设过程中所完成的各种文件、电子文档以及其他相关资料和文件，其所有权和知识产权均归甲方所有，未经许可，乙方不得以任何形式转让或提供第三方。</w:t>
      </w:r>
    </w:p>
    <w:p>
      <w:pPr>
        <w:pStyle w:val="4"/>
        <w:ind w:firstLine="420"/>
        <w:jc w:val="both"/>
      </w:pPr>
      <w:r>
        <w:rPr>
          <w:sz w:val="21"/>
          <w:shd w:val="clear" w:fill="FFFFFF"/>
        </w:rPr>
        <w:t>2.乙方应保证其设计方案和成果不涉及知识产权问题。</w:t>
      </w:r>
    </w:p>
    <w:p>
      <w:pPr>
        <w:pStyle w:val="4"/>
        <w:ind w:left="420" w:firstLine="200"/>
        <w:jc w:val="both"/>
      </w:pPr>
      <w:r>
        <w:rPr>
          <w:b/>
          <w:color w:val="222222"/>
          <w:sz w:val="21"/>
          <w:shd w:val="clear" w:fill="FFFFFF"/>
        </w:rPr>
        <w:t>十、保密</w:t>
      </w:r>
    </w:p>
    <w:p>
      <w:pPr>
        <w:pStyle w:val="4"/>
        <w:ind w:firstLine="420"/>
        <w:jc w:val="both"/>
      </w:pPr>
      <w:r>
        <w:rPr>
          <w:sz w:val="21"/>
          <w:shd w:val="clear" w:fill="FFFFFF"/>
        </w:rPr>
        <w:t>1.乙方必须采取措施对本项目实施过程中的技术资料保密，否则由于乙方过错导致的上述资料泄密的，乙方必须承担一切责任。项目验收合格后，乙方移交全部资料给甲方，并有责任对本项目的技术保密。</w:t>
      </w:r>
    </w:p>
    <w:p>
      <w:pPr>
        <w:pStyle w:val="4"/>
        <w:ind w:firstLine="420"/>
        <w:jc w:val="both"/>
      </w:pPr>
      <w:r>
        <w:rPr>
          <w:sz w:val="21"/>
          <w:shd w:val="clear" w:fill="FFFFFF"/>
        </w:rPr>
        <w:t>2.未经甲方事先书面同意，乙方不得将由甲方为本合同提供的技术资料提供给与本合同无关的任何第三方，不得将其用于履行本合同之外的其它用途。即使向与履行本合同有关的人员提供，也应注意保密并限于履行合同所必需的范围。</w:t>
      </w:r>
    </w:p>
    <w:p>
      <w:pPr>
        <w:pStyle w:val="4"/>
        <w:ind w:left="420" w:firstLine="200"/>
        <w:jc w:val="both"/>
      </w:pPr>
      <w:r>
        <w:rPr>
          <w:b/>
          <w:color w:val="222222"/>
          <w:sz w:val="21"/>
          <w:shd w:val="clear" w:fill="FFFFFF"/>
        </w:rPr>
        <w:t>十一、违约责任与赔偿损失</w:t>
      </w:r>
    </w:p>
    <w:p>
      <w:pPr>
        <w:pStyle w:val="4"/>
        <w:ind w:firstLine="420"/>
        <w:jc w:val="both"/>
      </w:pPr>
      <w:r>
        <w:rPr>
          <w:color w:val="000000"/>
          <w:sz w:val="21"/>
        </w:rPr>
        <w:t>1.未经甲方同意，乙方不得将承包项目发包或转包，否则视为乙方违约，甲方有权解除服务合同。</w:t>
      </w:r>
    </w:p>
    <w:p>
      <w:pPr>
        <w:pStyle w:val="4"/>
        <w:ind w:firstLine="420"/>
        <w:jc w:val="both"/>
      </w:pPr>
      <w:r>
        <w:rPr>
          <w:color w:val="000000"/>
          <w:sz w:val="21"/>
        </w:rPr>
        <w:t>2.在服务期间，未经甲方同意，乙方不得随意更换派遣员工。否则甲方有权终止合同，并有权拒绝支付本期项目服务费。</w:t>
      </w:r>
    </w:p>
    <w:p>
      <w:pPr>
        <w:pStyle w:val="4"/>
        <w:ind w:firstLine="420"/>
        <w:jc w:val="both"/>
      </w:pPr>
      <w:r>
        <w:rPr>
          <w:color w:val="000000"/>
          <w:sz w:val="21"/>
        </w:rPr>
        <w:t>3.由于乙方工作失误的原因，造成派遣员工的经济损失，所产生的损失及后果由乙方承担。因中标方业务人员蓄意破坏设备设施、违反规程造成重大事故的，一经查实，则视为中标方严重违约，甲方有权终止合同，责令乙方赔偿损失，情节严重的依法追究其法律责任。</w:t>
      </w:r>
    </w:p>
    <w:p>
      <w:pPr>
        <w:pStyle w:val="4"/>
        <w:ind w:firstLine="420"/>
        <w:jc w:val="both"/>
      </w:pPr>
      <w:r>
        <w:rPr>
          <w:color w:val="000000"/>
          <w:sz w:val="21"/>
        </w:rPr>
        <w:t>4.若乙方在服务某阶段时期内违反其服务承诺或本招标文件的要求三次或以上，则视为中标方违约，甲方有权拒绝支付本期项目服务费。</w:t>
      </w:r>
    </w:p>
    <w:p>
      <w:pPr>
        <w:pStyle w:val="4"/>
        <w:ind w:firstLine="420"/>
        <w:jc w:val="both"/>
      </w:pPr>
      <w:r>
        <w:rPr>
          <w:color w:val="000000"/>
          <w:sz w:val="21"/>
        </w:rPr>
        <w:t>5.甲方应按合同支付方式按时支付款项，如因甲方款项支付不及时造成项目工期延误或由此造成其他经济损失的，视为甲方违约。</w:t>
      </w:r>
    </w:p>
    <w:p>
      <w:pPr>
        <w:pStyle w:val="4"/>
        <w:ind w:firstLine="420"/>
        <w:jc w:val="both"/>
      </w:pPr>
      <w:r>
        <w:rPr>
          <w:color w:val="000000"/>
          <w:sz w:val="21"/>
        </w:rPr>
        <w:t>6.其他违约责任按《中华人民共和国民法典（合同编）》处理。</w:t>
      </w:r>
    </w:p>
    <w:p>
      <w:pPr>
        <w:pStyle w:val="4"/>
        <w:ind w:left="420" w:firstLine="200"/>
        <w:jc w:val="both"/>
      </w:pPr>
      <w:r>
        <w:rPr>
          <w:b/>
          <w:color w:val="222222"/>
          <w:sz w:val="21"/>
          <w:shd w:val="clear" w:fill="FFFFFF"/>
        </w:rPr>
        <w:t>十二、争议的解决</w:t>
      </w:r>
    </w:p>
    <w:p>
      <w:pPr>
        <w:pStyle w:val="4"/>
        <w:ind w:firstLine="420"/>
        <w:jc w:val="both"/>
      </w:pPr>
      <w:r>
        <w:rPr>
          <w:color w:val="222222"/>
          <w:sz w:val="21"/>
          <w:shd w:val="clear" w:fill="FFFFFF"/>
        </w:rPr>
        <w:t xml:space="preserve">合同执行过程中发生的任何争议，如双方不能通过友好协商解决，任意一方均可向甲方所在地人民法院起诉。    </w:t>
      </w:r>
    </w:p>
    <w:p>
      <w:pPr>
        <w:pStyle w:val="4"/>
        <w:ind w:left="420" w:firstLine="200"/>
        <w:jc w:val="both"/>
      </w:pPr>
      <w:r>
        <w:rPr>
          <w:b/>
          <w:color w:val="222222"/>
          <w:sz w:val="21"/>
          <w:shd w:val="clear" w:fill="FFFFFF"/>
        </w:rPr>
        <w:t>十三、不可抗力</w:t>
      </w:r>
    </w:p>
    <w:p>
      <w:pPr>
        <w:pStyle w:val="4"/>
        <w:ind w:firstLine="420"/>
        <w:jc w:val="both"/>
      </w:pPr>
      <w:r>
        <w:rPr>
          <w:color w:val="222222"/>
          <w:sz w:val="21"/>
          <w:shd w:val="clear" w:fill="FFFFFF"/>
        </w:rPr>
        <w:t>任何一方由于不可抗力原因不能履行合同时，应在不可抗力事件结束后3日内向对方通报，以减轻可能给对方造成的损失，在取得有关机构的不可抗力证明或双方谅解确认后，允许延期履行或修订合同，并根据情况可部分或全部免于承担违约责任。</w:t>
      </w:r>
    </w:p>
    <w:p>
      <w:pPr>
        <w:pStyle w:val="4"/>
        <w:ind w:left="420" w:firstLine="200"/>
        <w:jc w:val="both"/>
      </w:pPr>
      <w:r>
        <w:rPr>
          <w:b/>
          <w:color w:val="222222"/>
          <w:sz w:val="21"/>
          <w:shd w:val="clear" w:fill="FFFFFF"/>
        </w:rPr>
        <w:t>十四、税费</w:t>
      </w:r>
    </w:p>
    <w:p>
      <w:pPr>
        <w:pStyle w:val="4"/>
        <w:ind w:firstLine="420"/>
        <w:jc w:val="both"/>
      </w:pPr>
      <w:r>
        <w:rPr>
          <w:color w:val="222222"/>
          <w:sz w:val="21"/>
          <w:shd w:val="clear" w:fill="FFFFFF"/>
        </w:rPr>
        <w:t>在中国境内、外发生的与本合同执行有关的一切税费均由乙方负担。</w:t>
      </w:r>
    </w:p>
    <w:p>
      <w:pPr>
        <w:pStyle w:val="4"/>
        <w:ind w:left="420" w:firstLine="200"/>
        <w:jc w:val="both"/>
      </w:pPr>
      <w:r>
        <w:rPr>
          <w:b/>
          <w:color w:val="222222"/>
          <w:sz w:val="21"/>
          <w:shd w:val="clear" w:fill="FFFFFF"/>
        </w:rPr>
        <w:t>十五、其它</w:t>
      </w:r>
    </w:p>
    <w:p>
      <w:pPr>
        <w:pStyle w:val="4"/>
        <w:ind w:firstLine="420"/>
        <w:jc w:val="both"/>
      </w:pPr>
      <w:r>
        <w:rPr>
          <w:color w:val="222222"/>
          <w:sz w:val="21"/>
          <w:shd w:val="clear" w:fill="FFFFFF"/>
        </w:rPr>
        <w:t>1.本合同所有附件、招标文件、投标文件、中标通知书均为合同的有效组成部分，与本合同具有同等法律效力。</w:t>
      </w:r>
    </w:p>
    <w:p>
      <w:pPr>
        <w:pStyle w:val="4"/>
        <w:ind w:firstLine="420"/>
        <w:jc w:val="both"/>
      </w:pPr>
      <w:r>
        <w:rPr>
          <w:color w:val="222222"/>
          <w:sz w:val="21"/>
          <w:shd w:val="clear" w:fill="FFFFFF"/>
        </w:rPr>
        <w:t>2.在执行本合同的过程中，所有经双方签署确认的文件（包括会议纪要、补充协议、往来信函）即成为本合同的有效组成部分。</w:t>
      </w:r>
    </w:p>
    <w:p>
      <w:pPr>
        <w:pStyle w:val="4"/>
        <w:ind w:firstLine="420"/>
        <w:jc w:val="both"/>
      </w:pPr>
      <w:r>
        <w:rPr>
          <w:color w:val="222222"/>
          <w:sz w:val="21"/>
          <w:shd w:val="clear" w:fill="FFFFFF"/>
        </w:rPr>
        <w:t>3.如一方地址、电话、传真号码有变更，应在变更当日内书面通知对方，否则，应承担相应责任。</w:t>
      </w:r>
    </w:p>
    <w:p>
      <w:pPr>
        <w:pStyle w:val="4"/>
        <w:ind w:firstLine="420"/>
        <w:jc w:val="both"/>
      </w:pPr>
      <w:r>
        <w:rPr>
          <w:color w:val="222222"/>
          <w:sz w:val="21"/>
          <w:shd w:val="clear" w:fill="FFFFFF"/>
        </w:rPr>
        <w:t>4.除甲方事先书面同意外，乙方不得部分或全部转让其应履行的合同项下的义务。</w:t>
      </w:r>
    </w:p>
    <w:p>
      <w:pPr>
        <w:pStyle w:val="4"/>
        <w:ind w:left="420" w:firstLine="200"/>
        <w:jc w:val="both"/>
      </w:pPr>
      <w:r>
        <w:rPr>
          <w:b/>
          <w:color w:val="222222"/>
          <w:sz w:val="21"/>
          <w:shd w:val="clear" w:fill="FFFFFF"/>
        </w:rPr>
        <w:t>十六、合同生效</w:t>
      </w:r>
    </w:p>
    <w:p>
      <w:pPr>
        <w:pStyle w:val="4"/>
        <w:ind w:firstLine="420"/>
        <w:jc w:val="both"/>
      </w:pPr>
      <w:r>
        <w:rPr>
          <w:color w:val="000000"/>
          <w:sz w:val="21"/>
        </w:rPr>
        <w:t>（1）本合同在甲乙双方法人代表或其授权代表签字盖章后生效。</w:t>
      </w:r>
    </w:p>
    <w:p>
      <w:pPr>
        <w:pStyle w:val="4"/>
        <w:ind w:firstLine="420"/>
        <w:jc w:val="both"/>
      </w:pPr>
      <w:r>
        <w:rPr>
          <w:color w:val="000000"/>
          <w:sz w:val="21"/>
        </w:rPr>
        <w:t>（2）合同一式</w:t>
      </w:r>
      <w:r>
        <w:rPr>
          <w:color w:val="000000"/>
          <w:sz w:val="21"/>
          <w:u w:val="single"/>
        </w:rPr>
        <w:t xml:space="preserve">  </w:t>
      </w:r>
      <w:r>
        <w:rPr>
          <w:color w:val="000000"/>
          <w:sz w:val="21"/>
        </w:rPr>
        <w:t>份，甲方</w:t>
      </w:r>
      <w:r>
        <w:rPr>
          <w:color w:val="000000"/>
          <w:sz w:val="21"/>
          <w:u w:val="single"/>
        </w:rPr>
        <w:t xml:space="preserve">  </w:t>
      </w:r>
      <w:r>
        <w:rPr>
          <w:color w:val="000000"/>
          <w:sz w:val="21"/>
        </w:rPr>
        <w:t>份、乙方</w:t>
      </w:r>
      <w:r>
        <w:rPr>
          <w:color w:val="000000"/>
          <w:sz w:val="21"/>
          <w:u w:val="single"/>
        </w:rPr>
        <w:t xml:space="preserve">  </w:t>
      </w:r>
      <w:r>
        <w:rPr>
          <w:color w:val="000000"/>
          <w:sz w:val="21"/>
        </w:rPr>
        <w:t>份。</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46"/>
        <w:gridCol w:w="4146"/>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46" w:type="dxa"/>
            <w:tcBorders>
              <w:top w:val="nil"/>
              <w:left w:val="nil"/>
              <w:bottom w:val="nil"/>
              <w:right w:val="nil"/>
            </w:tcBorders>
            <w:tcMar>
              <w:top w:w="0" w:type="dxa"/>
              <w:left w:w="90" w:type="dxa"/>
              <w:bottom w:w="0" w:type="dxa"/>
              <w:right w:w="90" w:type="dxa"/>
            </w:tcMar>
            <w:vAlign w:val="top"/>
          </w:tcPr>
          <w:p>
            <w:pPr>
              <w:pStyle w:val="4"/>
              <w:ind w:firstLine="200"/>
              <w:jc w:val="both"/>
            </w:pPr>
            <w:r>
              <w:rPr>
                <w:color w:val="000000"/>
                <w:sz w:val="21"/>
              </w:rPr>
              <w:t>甲方（盖章）：</w:t>
            </w:r>
          </w:p>
          <w:p>
            <w:pPr>
              <w:pStyle w:val="4"/>
              <w:ind w:firstLine="200"/>
              <w:jc w:val="both"/>
            </w:pPr>
            <w:r>
              <w:rPr>
                <w:color w:val="000000"/>
                <w:sz w:val="21"/>
              </w:rPr>
              <w:t>代表：</w:t>
            </w:r>
          </w:p>
          <w:p>
            <w:pPr>
              <w:pStyle w:val="4"/>
              <w:ind w:firstLine="200"/>
              <w:jc w:val="both"/>
            </w:pPr>
            <w:r>
              <w:rPr>
                <w:color w:val="000000"/>
                <w:sz w:val="21"/>
              </w:rPr>
              <w:t>签订地点：</w:t>
            </w:r>
          </w:p>
          <w:p>
            <w:pPr>
              <w:pStyle w:val="4"/>
              <w:ind w:firstLine="200"/>
              <w:jc w:val="both"/>
            </w:pPr>
            <w:r>
              <w:rPr>
                <w:color w:val="000000"/>
                <w:sz w:val="21"/>
              </w:rPr>
              <w:t xml:space="preserve">签订日期：  年  月  日  </w:t>
            </w:r>
          </w:p>
        </w:tc>
        <w:tc>
          <w:tcPr>
            <w:tcW w:w="4146" w:type="dxa"/>
            <w:tcBorders>
              <w:top w:val="nil"/>
              <w:left w:val="nil"/>
              <w:bottom w:val="nil"/>
              <w:right w:val="nil"/>
            </w:tcBorders>
            <w:tcMar>
              <w:top w:w="0" w:type="dxa"/>
              <w:left w:w="90" w:type="dxa"/>
              <w:bottom w:w="0" w:type="dxa"/>
              <w:right w:w="90" w:type="dxa"/>
            </w:tcMar>
            <w:vAlign w:val="top"/>
          </w:tcPr>
          <w:p>
            <w:pPr>
              <w:pStyle w:val="4"/>
              <w:ind w:firstLine="200"/>
              <w:jc w:val="both"/>
            </w:pPr>
            <w:r>
              <w:rPr>
                <w:color w:val="000000"/>
                <w:sz w:val="21"/>
              </w:rPr>
              <w:t>乙方（盖章）：</w:t>
            </w:r>
          </w:p>
          <w:p>
            <w:pPr>
              <w:pStyle w:val="4"/>
              <w:ind w:firstLine="200"/>
              <w:jc w:val="both"/>
            </w:pPr>
            <w:r>
              <w:rPr>
                <w:color w:val="000000"/>
                <w:sz w:val="21"/>
              </w:rPr>
              <w:t>代表：</w:t>
            </w:r>
          </w:p>
          <w:p>
            <w:pPr>
              <w:pStyle w:val="4"/>
              <w:ind w:firstLine="200"/>
              <w:jc w:val="both"/>
            </w:pPr>
            <w:r>
              <w:rPr>
                <w:color w:val="000000"/>
                <w:sz w:val="21"/>
              </w:rPr>
              <w:t>签订日期：  年   月  日</w:t>
            </w:r>
          </w:p>
          <w:p>
            <w:pPr>
              <w:pStyle w:val="4"/>
              <w:ind w:firstLine="200"/>
              <w:jc w:val="both"/>
            </w:pPr>
            <w:r>
              <w:rPr>
                <w:color w:val="000000"/>
                <w:sz w:val="21"/>
              </w:rPr>
              <w:t>开户名称：</w:t>
            </w:r>
          </w:p>
          <w:p>
            <w:pPr>
              <w:pStyle w:val="4"/>
              <w:ind w:firstLine="200"/>
              <w:jc w:val="both"/>
            </w:pPr>
            <w:r>
              <w:rPr>
                <w:color w:val="000000"/>
                <w:sz w:val="21"/>
              </w:rPr>
              <w:t>银行账号：</w:t>
            </w:r>
          </w:p>
          <w:p>
            <w:pPr>
              <w:pStyle w:val="4"/>
              <w:ind w:firstLine="200"/>
              <w:jc w:val="both"/>
            </w:pPr>
            <w:r>
              <w:rPr>
                <w:color w:val="000000"/>
                <w:sz w:val="21"/>
              </w:rPr>
              <w:t>开 户 行：</w:t>
            </w:r>
          </w:p>
        </w:tc>
      </w:tr>
    </w:tbl>
    <w:p>
      <w:pPr>
        <w:pStyle w:val="4"/>
      </w:pPr>
      <w:r>
        <w:t xml:space="preserve">  </w:t>
      </w:r>
    </w:p>
    <w:p>
      <w:pPr>
        <w:pStyle w:val="4"/>
        <w:jc w:val="center"/>
        <w:outlineLvl w:val="1"/>
      </w:pPr>
      <w:r>
        <w:rPr>
          <w:b/>
          <w:sz w:val="36"/>
        </w:rPr>
        <w:t>第六章 投标文件格式与要求</w:t>
      </w:r>
    </w:p>
    <w:p>
      <w:pPr>
        <w:pStyle w:val="4"/>
        <w:ind w:firstLine="480"/>
      </w:pPr>
      <w:r>
        <w:t>投标人应提交证明其有资格参加投标和中标后有能力履行合同的相关文件，并作为其投标文件的一部分，所有文件必须真实可靠、不得伪造，否则将按相关规定予以处罚。</w:t>
      </w:r>
    </w:p>
    <w:p>
      <w:pPr>
        <w:pStyle w:val="4"/>
        <w:ind w:firstLine="480"/>
      </w:pPr>
      <w:r>
        <w:t>1.法人或者其他组织的营业执照等证明文件，自然人的身份证明：</w:t>
      </w:r>
    </w:p>
    <w:p>
      <w:pPr>
        <w:pStyle w:val="4"/>
        <w:ind w:firstLine="480"/>
      </w:pPr>
      <w: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pStyle w:val="4"/>
        <w:ind w:firstLine="480"/>
      </w:pPr>
      <w: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4"/>
        <w:ind w:firstLine="480"/>
      </w:pPr>
      <w:r>
        <w:t>2.财务状况报告，依法缴纳税收和社会保障资金的相关材料（详见资格性审查表要求）</w:t>
      </w:r>
    </w:p>
    <w:p>
      <w:pPr>
        <w:pStyle w:val="4"/>
        <w:ind w:firstLine="480"/>
      </w:pPr>
      <w:r>
        <w:t>3.具有履行合同所必需的设备和专业技术能力的声明。</w:t>
      </w:r>
    </w:p>
    <w:p>
      <w:pPr>
        <w:pStyle w:val="4"/>
        <w:ind w:firstLine="480"/>
      </w:pPr>
      <w:r>
        <w:t>4.投标人参加政府采购前三年内在经营活动中没有重大违法记录书面声明函。</w:t>
      </w:r>
    </w:p>
    <w:p>
      <w:pPr>
        <w:pStyle w:val="4"/>
        <w:ind w:firstLine="480"/>
      </w:pPr>
      <w:r>
        <w:t>5.信用记录查询</w:t>
      </w:r>
    </w:p>
    <w:p>
      <w:pPr>
        <w:pStyle w:val="4"/>
        <w:ind w:firstLine="480"/>
      </w:pPr>
      <w:r>
        <w:t>（1）查询渠道：通过“信用中国”网站(www.creditchina.gov.cn)和“中国政府采购网”（www.ccgp.gov.cn）进行查询；</w:t>
      </w:r>
    </w:p>
    <w:p>
      <w:pPr>
        <w:pStyle w:val="4"/>
        <w:ind w:firstLine="480"/>
      </w:pPr>
      <w:r>
        <w:t>（2）查询截止时点：提交投标文件截止日当天；</w:t>
      </w:r>
    </w:p>
    <w:p>
      <w:pPr>
        <w:pStyle w:val="4"/>
        <w:ind w:firstLine="480"/>
      </w:pPr>
      <w:r>
        <w:t>（3）查询记录：对列入失信被执行人、重大税收违法案件当事人名单、政府采购严重违法失信行为记录名单、信用报告进行查询；</w:t>
      </w:r>
    </w:p>
    <w:p>
      <w:pPr>
        <w:pStyle w:val="4"/>
        <w:ind w:firstLine="480"/>
      </w:pPr>
      <w: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pStyle w:val="4"/>
        <w:ind w:firstLine="480"/>
      </w:pPr>
      <w:r>
        <w:t>6. 按照招标文件要求，投标人应当提交的资格、资信证明文件。</w:t>
      </w:r>
    </w:p>
    <w:p>
      <w:pPr>
        <w:pStyle w:val="4"/>
        <w:ind w:firstLine="480"/>
      </w:pPr>
      <w:r>
        <w:t xml:space="preserve">  </w:t>
      </w:r>
      <w:r>
        <w:br w:type="textWrapping"/>
      </w:r>
    </w:p>
    <w:p>
      <w:pPr>
        <w:pStyle w:val="4"/>
        <w:jc w:val="center"/>
        <w:outlineLvl w:val="0"/>
      </w:pPr>
      <w:r>
        <w:rPr>
          <w:b/>
          <w:sz w:val="48"/>
        </w:rPr>
        <w:t>投标文件封面</w:t>
      </w:r>
    </w:p>
    <w:p>
      <w:pPr>
        <w:pStyle w:val="4"/>
        <w:outlineLvl w:val="0"/>
      </w:pPr>
      <w:r>
        <w:rPr>
          <w:b/>
          <w:sz w:val="48"/>
        </w:rPr>
        <w:t>（项目名称）</w:t>
      </w:r>
    </w:p>
    <w:p>
      <w:pPr>
        <w:pStyle w:val="4"/>
        <w:jc w:val="center"/>
        <w:outlineLvl w:val="0"/>
      </w:pPr>
      <w:r>
        <w:rPr>
          <w:b/>
          <w:sz w:val="48"/>
        </w:rPr>
        <w:t>投标文件封面</w:t>
      </w:r>
    </w:p>
    <w:p>
      <w:pPr>
        <w:pStyle w:val="4"/>
        <w:jc w:val="center"/>
        <w:outlineLvl w:val="0"/>
      </w:pPr>
      <w:r>
        <w:rPr>
          <w:b/>
          <w:sz w:val="48"/>
        </w:rPr>
        <w:t>（正本/副本）</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pPr>
        <w:pStyle w:val="4"/>
        <w:jc w:val="center"/>
        <w:outlineLvl w:val="3"/>
      </w:pPr>
      <w:r>
        <w:rPr>
          <w:b/>
          <w:sz w:val="24"/>
        </w:rPr>
        <w:t>采购计划编号：441302-2025-00548</w:t>
      </w:r>
    </w:p>
    <w:p>
      <w:pPr>
        <w:pStyle w:val="4"/>
        <w:jc w:val="center"/>
        <w:outlineLvl w:val="3"/>
      </w:pPr>
      <w:r>
        <w:rPr>
          <w:b/>
          <w:sz w:val="24"/>
        </w:rPr>
        <w:t>采购项目编号：惠公易省云采惠城〔2025〕002号</w:t>
      </w:r>
    </w:p>
    <w:p>
      <w:pPr>
        <w:pStyle w:val="4"/>
        <w:jc w:val="center"/>
        <w:outlineLvl w:val="3"/>
      </w:pPr>
      <w:r>
        <w:rPr>
          <w:b/>
          <w:sz w:val="24"/>
        </w:rPr>
        <w:t>所投采购包：第 包</w:t>
      </w:r>
    </w:p>
    <w:p>
      <w:pPr>
        <w:pStyle w:val="4"/>
        <w:outlineLvl w:val="3"/>
      </w:pPr>
      <w:r>
        <w:rPr>
          <w:b/>
          <w:sz w:val="24"/>
        </w:rPr>
        <w:t>（投标人名称）</w:t>
      </w:r>
    </w:p>
    <w:p>
      <w:pPr>
        <w:pStyle w:val="4"/>
        <w:jc w:val="center"/>
        <w:outlineLvl w:val="3"/>
      </w:pPr>
      <w:r>
        <w:rPr>
          <w:b/>
          <w:sz w:val="24"/>
        </w:rPr>
        <w:t xml:space="preserve"> 年 月 日</w:t>
      </w:r>
    </w:p>
    <w:p>
      <w:pPr>
        <w:pStyle w:val="4"/>
        <w:ind w:firstLine="480"/>
      </w:pPr>
      <w:r>
        <w:t xml:space="preserve">  </w:t>
      </w:r>
    </w:p>
    <w:p>
      <w:pPr>
        <w:pStyle w:val="4"/>
        <w:jc w:val="center"/>
        <w:outlineLvl w:val="3"/>
      </w:pPr>
      <w:r>
        <w:rPr>
          <w:b/>
          <w:sz w:val="24"/>
        </w:rPr>
        <w:t>投标文件目录</w:t>
      </w:r>
    </w:p>
    <w:p>
      <w:pPr>
        <w:pStyle w:val="4"/>
        <w:ind w:firstLine="480"/>
      </w:pPr>
      <w:r>
        <w:t>一、投标函</w:t>
      </w:r>
    </w:p>
    <w:p>
      <w:pPr>
        <w:pStyle w:val="4"/>
        <w:ind w:firstLine="480"/>
      </w:pPr>
      <w:r>
        <w:t>二、开标一览表</w:t>
      </w:r>
    </w:p>
    <w:p>
      <w:pPr>
        <w:pStyle w:val="4"/>
        <w:ind w:firstLine="480"/>
      </w:pPr>
      <w:r>
        <w:t>三、分项报价表</w:t>
      </w:r>
    </w:p>
    <w:p>
      <w:pPr>
        <w:pStyle w:val="4"/>
        <w:ind w:firstLine="480"/>
      </w:pPr>
      <w:r>
        <w:t>四、政策适用性说明</w:t>
      </w:r>
    </w:p>
    <w:p>
      <w:pPr>
        <w:pStyle w:val="4"/>
        <w:ind w:firstLine="480"/>
      </w:pPr>
      <w:r>
        <w:t>五、法定代表人证明书</w:t>
      </w:r>
    </w:p>
    <w:p>
      <w:pPr>
        <w:pStyle w:val="4"/>
        <w:ind w:firstLine="480"/>
      </w:pPr>
      <w:r>
        <w:t>六、法定代表人授权书</w:t>
      </w:r>
    </w:p>
    <w:p>
      <w:pPr>
        <w:pStyle w:val="4"/>
        <w:ind w:firstLine="480"/>
      </w:pPr>
      <w:r>
        <w:t>七、投标保证金</w:t>
      </w:r>
    </w:p>
    <w:p>
      <w:pPr>
        <w:pStyle w:val="4"/>
        <w:ind w:firstLine="480"/>
      </w:pPr>
      <w:r>
        <w:t>八、提供具有独立承担民事责任的能力的证明材料</w:t>
      </w:r>
    </w:p>
    <w:p>
      <w:pPr>
        <w:pStyle w:val="4"/>
        <w:ind w:firstLine="480"/>
      </w:pPr>
      <w:r>
        <w:t>九、资格性审查要求的其他资质证明文件</w:t>
      </w:r>
    </w:p>
    <w:p>
      <w:pPr>
        <w:pStyle w:val="4"/>
        <w:ind w:firstLine="480"/>
      </w:pPr>
      <w:r>
        <w:t>十、承诺函</w:t>
      </w:r>
    </w:p>
    <w:p>
      <w:pPr>
        <w:pStyle w:val="4"/>
        <w:ind w:firstLine="480"/>
      </w:pPr>
      <w:r>
        <w:t>十一、中小企业声明函</w:t>
      </w:r>
    </w:p>
    <w:p>
      <w:pPr>
        <w:pStyle w:val="4"/>
        <w:ind w:firstLine="480"/>
      </w:pPr>
      <w:r>
        <w:t>十二、监狱企业</w:t>
      </w:r>
    </w:p>
    <w:p>
      <w:pPr>
        <w:pStyle w:val="4"/>
        <w:ind w:firstLine="480"/>
      </w:pPr>
      <w:r>
        <w:t>十三、残疾人福利性单位声明函</w:t>
      </w:r>
    </w:p>
    <w:p>
      <w:pPr>
        <w:pStyle w:val="4"/>
        <w:ind w:firstLine="480"/>
      </w:pPr>
      <w:r>
        <w:t>十四、联合体共同投标协议书</w:t>
      </w:r>
    </w:p>
    <w:p>
      <w:pPr>
        <w:pStyle w:val="4"/>
        <w:ind w:firstLine="480"/>
      </w:pPr>
      <w:r>
        <w:t>十五、投标人业绩情况表</w:t>
      </w:r>
    </w:p>
    <w:p>
      <w:pPr>
        <w:pStyle w:val="4"/>
        <w:ind w:firstLine="480"/>
      </w:pPr>
      <w:r>
        <w:t>十六、技术和服务要求响应表</w:t>
      </w:r>
    </w:p>
    <w:p>
      <w:pPr>
        <w:pStyle w:val="4"/>
        <w:ind w:firstLine="480"/>
      </w:pPr>
      <w:r>
        <w:t>十七、商务条件响应表</w:t>
      </w:r>
    </w:p>
    <w:p>
      <w:pPr>
        <w:pStyle w:val="4"/>
        <w:ind w:firstLine="480"/>
      </w:pPr>
      <w:r>
        <w:t>十八、履约进度计划表</w:t>
      </w:r>
    </w:p>
    <w:p>
      <w:pPr>
        <w:pStyle w:val="4"/>
        <w:ind w:firstLine="480"/>
      </w:pPr>
      <w:r>
        <w:t>十九、各类证明材料</w:t>
      </w:r>
    </w:p>
    <w:p>
      <w:pPr>
        <w:pStyle w:val="4"/>
        <w:ind w:firstLine="480"/>
      </w:pPr>
      <w:r>
        <w:t>二十、采购代理服务费支付承诺书</w:t>
      </w:r>
    </w:p>
    <w:p>
      <w:pPr>
        <w:pStyle w:val="4"/>
        <w:ind w:firstLine="480"/>
      </w:pPr>
      <w:r>
        <w:t>二十一、需要采购人提供的附加条件</w:t>
      </w:r>
    </w:p>
    <w:p>
      <w:pPr>
        <w:pStyle w:val="4"/>
        <w:ind w:firstLine="480"/>
      </w:pPr>
      <w:r>
        <w:t>二十二、询问函、质疑函、投诉书格式</w:t>
      </w:r>
    </w:p>
    <w:p>
      <w:pPr>
        <w:pStyle w:val="4"/>
        <w:ind w:firstLine="480"/>
      </w:pPr>
      <w:r>
        <w:t>二十三、项目实施方案、质量保证及售后服务承诺等</w:t>
      </w:r>
    </w:p>
    <w:p>
      <w:pPr>
        <w:pStyle w:val="4"/>
        <w:ind w:firstLine="480"/>
      </w:pPr>
      <w:r>
        <w:t>二十四、附件</w:t>
      </w:r>
    </w:p>
    <w:p>
      <w:pPr>
        <w:pStyle w:val="4"/>
        <w:ind w:firstLine="480"/>
      </w:pPr>
      <w:r>
        <w:t>二十五、政府采购履约担保函、采购合同履约保险凭证</w:t>
      </w:r>
    </w:p>
    <w:p>
      <w:pPr>
        <w:pStyle w:val="4"/>
        <w:ind w:firstLine="480"/>
      </w:pPr>
      <w:r>
        <w:t xml:space="preserve">  </w:t>
      </w:r>
    </w:p>
    <w:p>
      <w:pPr>
        <w:pStyle w:val="4"/>
        <w:outlineLvl w:val="2"/>
      </w:pPr>
      <w:r>
        <w:rPr>
          <w:b/>
          <w:sz w:val="28"/>
        </w:rPr>
        <w:t>格式一：</w:t>
      </w:r>
    </w:p>
    <w:p>
      <w:pPr>
        <w:pStyle w:val="4"/>
        <w:outlineLvl w:val="3"/>
      </w:pPr>
      <w:r>
        <w:rPr>
          <w:b/>
          <w:sz w:val="24"/>
        </w:rPr>
        <w:t>投标函</w:t>
      </w:r>
    </w:p>
    <w:p>
      <w:pPr>
        <w:pStyle w:val="4"/>
        <w:ind w:firstLine="480"/>
      </w:pPr>
      <w:r>
        <w:t xml:space="preserve"> 致：</w:t>
      </w:r>
      <w:r>
        <w:rPr>
          <w:u w:val="single"/>
        </w:rPr>
        <w:t>惠州市公共资源交易中心惠城分中心</w:t>
      </w:r>
    </w:p>
    <w:p>
      <w:pPr>
        <w:pStyle w:val="4"/>
        <w:ind w:firstLine="480"/>
      </w:pPr>
      <w:r>
        <w:t xml:space="preserve"> 你方组织的</w:t>
      </w:r>
      <w:r>
        <w:rPr>
          <w:u w:val="single"/>
        </w:rPr>
        <w:t>“惠州市第二妇幼保健院HIS系统升级改造项目”</w:t>
      </w:r>
      <w:r>
        <w:t>项目的招标[采购项目编号为：</w:t>
      </w:r>
      <w:r>
        <w:rPr>
          <w:u w:val="single"/>
        </w:rPr>
        <w:t>惠公易省云采惠城〔2025〕002号</w:t>
      </w:r>
      <w:r>
        <w:t>]，我方愿参与投标。</w:t>
      </w:r>
    </w:p>
    <w:p>
      <w:pPr>
        <w:pStyle w:val="4"/>
        <w:ind w:firstLine="480"/>
      </w:pPr>
      <w:r>
        <w:t>我方确认收到贵方提供的</w:t>
      </w:r>
      <w:r>
        <w:rPr>
          <w:u w:val="single"/>
        </w:rPr>
        <w:t>“惠州市第二妇幼保健院HIS系统升级改造项目”</w:t>
      </w:r>
      <w:r>
        <w:t>项目的招标文件的全部内容。</w:t>
      </w:r>
    </w:p>
    <w:p>
      <w:pPr>
        <w:pStyle w:val="4"/>
        <w:ind w:firstLine="480"/>
      </w:pPr>
      <w:r>
        <w:t xml:space="preserve"> 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利。</w:t>
      </w:r>
    </w:p>
    <w:p>
      <w:pPr>
        <w:pStyle w:val="4"/>
        <w:ind w:firstLine="480"/>
      </w:pPr>
      <w:r>
        <w:rPr>
          <w:u w:val="single"/>
        </w:rPr>
        <w:t>(投标人名称)</w:t>
      </w:r>
      <w:r>
        <w:t>作为投标人正式授权</w:t>
      </w:r>
      <w:r>
        <w:rPr>
          <w:u w:val="single"/>
        </w:rPr>
        <w:t>(授权代表全名,职务)</w:t>
      </w:r>
      <w:r>
        <w:t>代表我方全权处理有关本投标的一切事宜。</w:t>
      </w:r>
    </w:p>
    <w:p>
      <w:pPr>
        <w:pStyle w:val="4"/>
        <w:ind w:firstLine="480"/>
      </w:pPr>
      <w:r>
        <w:t>我方已完全明白招标文件的所有条款要求，并申明如下：</w:t>
      </w:r>
    </w:p>
    <w:p>
      <w:pPr>
        <w:pStyle w:val="4"/>
        <w:ind w:firstLine="480"/>
      </w:pPr>
      <w:r>
        <w:t xml:space="preserve"> （一）按招标文件提供的全部货物与相关服务的投标总价详见《开标一览表》。</w:t>
      </w:r>
    </w:p>
    <w:p>
      <w:pPr>
        <w:pStyle w:val="4"/>
        <w:ind w:firstLine="480"/>
      </w:pPr>
      <w:r>
        <w:t xml:space="preserve"> （二）本投标文件的有效期为从提交投标（响应）文件的截止之日起90日历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4"/>
        <w:ind w:firstLine="480"/>
      </w:pPr>
      <w:r>
        <w:t xml:space="preserve"> （三）我方明白并同意，在规定的开标日之后，投标有效期之内撤回投标或中标后不按规定与采购人签订合同或不提交履约保证金, 则贵方将不予退还投标保证金。</w:t>
      </w:r>
    </w:p>
    <w:p>
      <w:pPr>
        <w:pStyle w:val="4"/>
        <w:ind w:firstLine="480"/>
      </w:pPr>
      <w:r>
        <w:t xml:space="preserve"> （四）我方愿意向贵方提供任何与本项报价有关的数据、情况和技术资料。若贵方需要，我方愿意提供我方作出的一切承诺的证明材料。</w:t>
      </w:r>
    </w:p>
    <w:p>
      <w:pPr>
        <w:pStyle w:val="4"/>
        <w:ind w:firstLine="480"/>
      </w:pPr>
      <w:r>
        <w:t xml:space="preserve"> （五）我方理解贵方不一定接受最低投标价或任何贵方可能收到的投标。</w:t>
      </w:r>
    </w:p>
    <w:p>
      <w:pPr>
        <w:pStyle w:val="4"/>
        <w:ind w:firstLine="480"/>
      </w:pPr>
      <w:r>
        <w:t xml:space="preserve"> （六）我方如果中标，将保证履行招标文件及其澄清、修改文件（如果有）中的全部责任和义务，按质、按量、按期完成《采购需求》及《合同书》中的全部任务。</w:t>
      </w:r>
    </w:p>
    <w:p>
      <w:pPr>
        <w:pStyle w:val="4"/>
        <w:ind w:firstLine="480"/>
      </w:pPr>
      <w:r>
        <w:t xml:space="preserve"> （七）我方作为法律、财务和运作上独立于采购人、采购代理机构的投标人，在此保证所提交的所有文件和全部说明是真实的和正确的。</w:t>
      </w:r>
    </w:p>
    <w:p>
      <w:pPr>
        <w:pStyle w:val="4"/>
        <w:ind w:firstLine="480"/>
      </w:pPr>
      <w:r>
        <w:t xml:space="preserve"> （八）我方投标报价已包含应向知识产权所有权人支付的所有相关税费，并保证采购人在中国使用我方提供的货物时，如有第三方提出侵犯其知识产权主张的，责任由我方承担。</w:t>
      </w:r>
    </w:p>
    <w:p>
      <w:pPr>
        <w:pStyle w:val="4"/>
        <w:ind w:firstLine="480"/>
      </w:pPr>
      <w:r>
        <w:t xml:space="preserve"> （九）我方接受采购人委托向贵方支付代理服务费，项目总报价已包含代理服务费，如果被确定为中标供应商，承诺向贵方足额支付。（若采购人支付代理服务费，则此条不适用）</w:t>
      </w:r>
    </w:p>
    <w:p>
      <w:pPr>
        <w:pStyle w:val="4"/>
        <w:ind w:firstLine="480"/>
      </w:pPr>
      <w:r>
        <w:t xml:space="preserve"> （十）我方与其他投标人不存在单位负责人为同一人或者存在直接控股、管理关系。</w:t>
      </w:r>
    </w:p>
    <w:p>
      <w:pPr>
        <w:pStyle w:val="4"/>
        <w:ind w:firstLine="480"/>
      </w:pPr>
      <w:r>
        <w:t xml:space="preserve"> （十一）我方承诺未为本项目提供整体设计、规范编制或者项目管理、监理、检测等服务。</w:t>
      </w:r>
    </w:p>
    <w:p>
      <w:pPr>
        <w:pStyle w:val="4"/>
        <w:ind w:firstLine="480"/>
      </w:pPr>
      <w:r>
        <w:t>（十二）我方未被列入法院失信被执行人名单中。</w:t>
      </w:r>
    </w:p>
    <w:p>
      <w:pPr>
        <w:pStyle w:val="4"/>
        <w:ind w:firstLine="480"/>
      </w:pPr>
      <w:r>
        <w:t>（十三）我方承诺遵守《中华人民共和国民法典》有关规定和《中华人民共和国妇女权益保障法》中关于“劳动和社会保障权益”的有关要求。</w:t>
      </w:r>
    </w:p>
    <w:p>
      <w:pPr>
        <w:pStyle w:val="4"/>
        <w:ind w:firstLine="480"/>
      </w:pPr>
      <w:r>
        <w:t xml:space="preserve"> （十四）我方具备《中华人民共和国政府采购法》第二十二条规定的条件，承诺如下：</w:t>
      </w:r>
    </w:p>
    <w:p>
      <w:pPr>
        <w:pStyle w:val="4"/>
        <w:ind w:firstLine="480"/>
      </w:pPr>
      <w: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4"/>
        <w:ind w:firstLine="480"/>
      </w:pPr>
      <w:r>
        <w:t xml:space="preserve"> （2）我方符合法律、行政法规规定的其他条件。</w:t>
      </w:r>
    </w:p>
    <w:p>
      <w:pPr>
        <w:pStyle w:val="4"/>
        <w:ind w:firstLine="480"/>
      </w:pPr>
      <w:r>
        <w:t>以上内容如有虚假或与事实不符的，评标委员会可将我方做无效投标处理，我方愿意承担相应的法律责任。</w:t>
      </w:r>
    </w:p>
    <w:p>
      <w:pPr>
        <w:pStyle w:val="4"/>
        <w:ind w:firstLine="480"/>
      </w:pPr>
      <w:r>
        <w:t xml:space="preserve"> （十五）我方对在本函及投标文件中所作的所有承诺承担法律责任。</w:t>
      </w:r>
    </w:p>
    <w:p>
      <w:pPr>
        <w:pStyle w:val="4"/>
        <w:ind w:firstLine="480"/>
      </w:pPr>
      <w:r>
        <w:t xml:space="preserve"> （十六）所有与本招标有关的函件请发往下列地址：</w:t>
      </w:r>
    </w:p>
    <w:p>
      <w:pPr>
        <w:pStyle w:val="4"/>
        <w:ind w:firstLine="480"/>
      </w:pPr>
      <w:r>
        <w:t xml:space="preserve"> 地 址：__________________邮政编码：__________________</w:t>
      </w:r>
    </w:p>
    <w:p>
      <w:pPr>
        <w:pStyle w:val="4"/>
        <w:ind w:firstLine="480"/>
      </w:pPr>
      <w:r>
        <w:t xml:space="preserve"> 电 话：__________________</w:t>
      </w:r>
    </w:p>
    <w:p>
      <w:pPr>
        <w:pStyle w:val="4"/>
        <w:ind w:firstLine="480"/>
      </w:pPr>
      <w:r>
        <w:t xml:space="preserve"> 传 真：__________________电子邮箱：__________________</w:t>
      </w:r>
    </w:p>
    <w:p>
      <w:pPr>
        <w:pStyle w:val="4"/>
        <w:ind w:firstLine="480"/>
      </w:pPr>
      <w:r>
        <w:t xml:space="preserve"> 代表姓名：__________________职 务：__________________</w:t>
      </w:r>
    </w:p>
    <w:p>
      <w:pPr>
        <w:pStyle w:val="4"/>
        <w:ind w:firstLine="480"/>
      </w:pPr>
      <w:r>
        <w:t xml:space="preserve"> 投标人法定代表人（或法定代表人授权代表）签字或盖章：__________________</w:t>
      </w:r>
    </w:p>
    <w:p>
      <w:pPr>
        <w:pStyle w:val="4"/>
      </w:pPr>
      <w:r>
        <w:t xml:space="preserve"> 投标人名称（盖章）：__________________</w:t>
      </w:r>
    </w:p>
    <w:p>
      <w:pPr>
        <w:pStyle w:val="4"/>
      </w:pPr>
      <w:r>
        <w:t xml:space="preserve"> 日期： 年 月 日</w:t>
      </w:r>
    </w:p>
    <w:p>
      <w:pPr>
        <w:pStyle w:val="4"/>
        <w:ind w:firstLine="480"/>
      </w:pPr>
      <w:r>
        <w:t xml:space="preserve">  </w:t>
      </w:r>
    </w:p>
    <w:p>
      <w:pPr>
        <w:pStyle w:val="4"/>
        <w:outlineLvl w:val="2"/>
      </w:pPr>
      <w:r>
        <w:rPr>
          <w:b/>
          <w:sz w:val="28"/>
        </w:rPr>
        <w:t>格式二：</w:t>
      </w:r>
    </w:p>
    <w:p>
      <w:pPr>
        <w:pStyle w:val="4"/>
        <w:jc w:val="center"/>
        <w:outlineLvl w:val="3"/>
      </w:pPr>
      <w:r>
        <w:rPr>
          <w:b/>
          <w:sz w:val="24"/>
        </w:rPr>
        <w:t>开标一览表</w:t>
      </w:r>
    </w:p>
    <w:p>
      <w:pPr>
        <w:pStyle w:val="4"/>
        <w:ind w:firstLine="480"/>
      </w:pPr>
      <w: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type="textWrapping"/>
      </w:r>
    </w:p>
    <w:p>
      <w:pPr>
        <w:pStyle w:val="4"/>
        <w:ind w:firstLine="480"/>
      </w:pPr>
      <w:r>
        <w:t>采购项目编号：</w:t>
      </w:r>
    </w:p>
    <w:p>
      <w:pPr>
        <w:pStyle w:val="4"/>
        <w:ind w:firstLine="480"/>
      </w:pPr>
      <w:r>
        <w:t>项目名称：</w:t>
      </w:r>
    </w:p>
    <w:p>
      <w:pPr>
        <w:pStyle w:val="4"/>
        <w:ind w:firstLine="480"/>
      </w:pPr>
      <w:r>
        <w:t>投标人名称：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pPr>
            <w:r>
              <w:t xml:space="preserve"> 序号</w:t>
            </w:r>
          </w:p>
        </w:tc>
        <w:tc>
          <w:tcPr>
            <w:tcW w:w="1661" w:type="dxa"/>
          </w:tcPr>
          <w:p>
            <w:pPr>
              <w:pStyle w:val="4"/>
            </w:pPr>
            <w:r>
              <w:t xml:space="preserve"> 采购项目名称/采购包名称</w:t>
            </w:r>
          </w:p>
        </w:tc>
        <w:tc>
          <w:tcPr>
            <w:tcW w:w="1661" w:type="dxa"/>
          </w:tcPr>
          <w:p>
            <w:pPr>
              <w:pStyle w:val="4"/>
            </w:pPr>
            <w:r>
              <w:t xml:space="preserve"> 投标报价（元/%）</w:t>
            </w:r>
          </w:p>
        </w:tc>
        <w:tc>
          <w:tcPr>
            <w:tcW w:w="1661" w:type="dxa"/>
          </w:tcPr>
          <w:p>
            <w:pPr>
              <w:pStyle w:val="4"/>
            </w:pPr>
            <w:r>
              <w:t xml:space="preserve"> 交货或服务期</w:t>
            </w:r>
          </w:p>
        </w:tc>
        <w:tc>
          <w:tcPr>
            <w:tcW w:w="1661" w:type="dxa"/>
          </w:tcPr>
          <w:p>
            <w:pPr>
              <w:pStyle w:val="4"/>
            </w:pPr>
            <w:r>
              <w:t xml:space="preserve"> 交货或服务地点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pPr>
            <w:r>
              <w:t xml:space="preserve"> 1</w:t>
            </w:r>
          </w:p>
        </w:tc>
        <w:tc>
          <w:tcPr>
            <w:tcW w:w="1661" w:type="dxa"/>
          </w:tcPr>
          <w:p/>
        </w:tc>
        <w:tc>
          <w:tcPr>
            <w:tcW w:w="1661" w:type="dxa"/>
          </w:tcPr>
          <w:p/>
        </w:tc>
        <w:tc>
          <w:tcPr>
            <w:tcW w:w="1661" w:type="dxa"/>
          </w:tcPr>
          <w:p/>
        </w:tc>
        <w:tc>
          <w:tcPr>
            <w:tcW w:w="1661" w:type="dxa"/>
          </w:tcPr>
          <w:p/>
        </w:tc>
      </w:tr>
    </w:tbl>
    <w:p>
      <w:pPr>
        <w:pStyle w:val="4"/>
      </w:pPr>
      <w:r>
        <w:t xml:space="preserve"> 投标人签章：__________________</w:t>
      </w:r>
    </w:p>
    <w:p>
      <w:pPr>
        <w:pStyle w:val="4"/>
      </w:pPr>
      <w:r>
        <w:t>日期： 年 月 日</w:t>
      </w:r>
    </w:p>
    <w:p>
      <w:pPr>
        <w:pStyle w:val="4"/>
        <w:ind w:firstLine="480"/>
      </w:pPr>
      <w:r>
        <w:t xml:space="preserve">  </w:t>
      </w:r>
    </w:p>
    <w:p>
      <w:pPr>
        <w:pStyle w:val="4"/>
        <w:outlineLvl w:val="2"/>
      </w:pPr>
      <w:r>
        <w:rPr>
          <w:b/>
          <w:sz w:val="28"/>
        </w:rPr>
        <w:t>格式三：</w:t>
      </w:r>
    </w:p>
    <w:p>
      <w:pPr>
        <w:pStyle w:val="4"/>
        <w:jc w:val="center"/>
        <w:outlineLvl w:val="3"/>
      </w:pPr>
      <w:r>
        <w:rPr>
          <w:b/>
          <w:sz w:val="24"/>
        </w:rPr>
        <w:t>分项报价表</w:t>
      </w:r>
    </w:p>
    <w:p>
      <w:pPr>
        <w:pStyle w:val="4"/>
        <w:ind w:firstLine="480"/>
      </w:pPr>
      <w: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type="textWrapping"/>
      </w:r>
    </w:p>
    <w:p>
      <w:pPr>
        <w:pStyle w:val="4"/>
        <w:ind w:firstLine="480"/>
      </w:pPr>
      <w:r>
        <w:t>采购项目编号：</w:t>
      </w:r>
    </w:p>
    <w:p>
      <w:pPr>
        <w:pStyle w:val="4"/>
        <w:ind w:firstLine="480"/>
      </w:pPr>
      <w:r>
        <w:t>项目名称：</w:t>
      </w:r>
    </w:p>
    <w:p>
      <w:pPr>
        <w:pStyle w:val="4"/>
        <w:ind w:firstLine="480"/>
      </w:pPr>
      <w:r>
        <w:t>投标人名称：</w:t>
      </w:r>
    </w:p>
    <w:p>
      <w:pPr>
        <w:pStyle w:val="4"/>
        <w:ind w:firstLine="480"/>
      </w:pPr>
      <w:r>
        <w:t>采购包：</w:t>
      </w:r>
    </w:p>
    <w:p>
      <w:pPr>
        <w:pStyle w:val="4"/>
      </w:pPr>
      <w:r>
        <w:t xml:space="preserve"> 货币及单位：人民币/元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4"/>
            </w:pPr>
            <w:r>
              <w:t xml:space="preserve"> 品目号</w:t>
            </w:r>
          </w:p>
        </w:tc>
        <w:tc>
          <w:tcPr>
            <w:tcW w:w="831" w:type="dxa"/>
          </w:tcPr>
          <w:p>
            <w:pPr>
              <w:pStyle w:val="4"/>
            </w:pPr>
            <w:r>
              <w:t xml:space="preserve"> 序号</w:t>
            </w:r>
          </w:p>
        </w:tc>
        <w:tc>
          <w:tcPr>
            <w:tcW w:w="831" w:type="dxa"/>
          </w:tcPr>
          <w:p>
            <w:pPr>
              <w:pStyle w:val="4"/>
            </w:pPr>
            <w:r>
              <w:t xml:space="preserve"> 货物名称</w:t>
            </w:r>
          </w:p>
        </w:tc>
        <w:tc>
          <w:tcPr>
            <w:tcW w:w="831" w:type="dxa"/>
          </w:tcPr>
          <w:p>
            <w:pPr>
              <w:pStyle w:val="4"/>
            </w:pPr>
            <w:r>
              <w:t xml:space="preserve"> 规格型号</w:t>
            </w:r>
          </w:p>
        </w:tc>
        <w:tc>
          <w:tcPr>
            <w:tcW w:w="831" w:type="dxa"/>
          </w:tcPr>
          <w:p>
            <w:pPr>
              <w:pStyle w:val="4"/>
            </w:pPr>
            <w:r>
              <w:t xml:space="preserve"> 品牌</w:t>
            </w:r>
          </w:p>
        </w:tc>
        <w:tc>
          <w:tcPr>
            <w:tcW w:w="831" w:type="dxa"/>
          </w:tcPr>
          <w:p>
            <w:pPr>
              <w:pStyle w:val="4"/>
            </w:pPr>
            <w:r>
              <w:t xml:space="preserve"> 产地</w:t>
            </w:r>
          </w:p>
        </w:tc>
        <w:tc>
          <w:tcPr>
            <w:tcW w:w="831" w:type="dxa"/>
          </w:tcPr>
          <w:p>
            <w:pPr>
              <w:pStyle w:val="4"/>
            </w:pPr>
            <w:r>
              <w:t xml:space="preserve"> 制造商名称</w:t>
            </w:r>
          </w:p>
        </w:tc>
        <w:tc>
          <w:tcPr>
            <w:tcW w:w="831" w:type="dxa"/>
          </w:tcPr>
          <w:p>
            <w:pPr>
              <w:pStyle w:val="4"/>
            </w:pPr>
            <w:r>
              <w:t xml:space="preserve"> 单价</w:t>
            </w:r>
          </w:p>
        </w:tc>
        <w:tc>
          <w:tcPr>
            <w:tcW w:w="831" w:type="dxa"/>
          </w:tcPr>
          <w:p>
            <w:pPr>
              <w:pStyle w:val="4"/>
            </w:pPr>
            <w:r>
              <w:t xml:space="preserve"> 数量</w:t>
            </w:r>
          </w:p>
        </w:tc>
        <w:tc>
          <w:tcPr>
            <w:tcW w:w="831" w:type="dxa"/>
          </w:tcPr>
          <w:p>
            <w:pPr>
              <w:pStyle w:val="4"/>
            </w:pPr>
            <w: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4"/>
      </w:pPr>
      <w:r>
        <w:br w:type="textWrapping"/>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品目号</w:t>
            </w:r>
          </w:p>
        </w:tc>
        <w:tc>
          <w:tcPr>
            <w:tcW w:w="831" w:type="dxa"/>
          </w:tcPr>
          <w:p>
            <w:pPr>
              <w:pStyle w:val="4"/>
            </w:pPr>
            <w:r>
              <w:t xml:space="preserve"> 序号</w:t>
            </w:r>
          </w:p>
        </w:tc>
        <w:tc>
          <w:tcPr>
            <w:tcW w:w="831" w:type="dxa"/>
          </w:tcPr>
          <w:p>
            <w:pPr>
              <w:pStyle w:val="4"/>
            </w:pPr>
            <w:r>
              <w:t xml:space="preserve"> 服务名称</w:t>
            </w:r>
          </w:p>
        </w:tc>
        <w:tc>
          <w:tcPr>
            <w:tcW w:w="831" w:type="dxa"/>
          </w:tcPr>
          <w:p>
            <w:pPr>
              <w:pStyle w:val="4"/>
            </w:pPr>
            <w:r>
              <w:t xml:space="preserve"> 服务范围</w:t>
            </w:r>
          </w:p>
        </w:tc>
        <w:tc>
          <w:tcPr>
            <w:tcW w:w="831" w:type="dxa"/>
          </w:tcPr>
          <w:p>
            <w:pPr>
              <w:pStyle w:val="4"/>
            </w:pPr>
            <w:r>
              <w:t xml:space="preserve"> 服务要求</w:t>
            </w:r>
          </w:p>
        </w:tc>
        <w:tc>
          <w:tcPr>
            <w:tcW w:w="831" w:type="dxa"/>
          </w:tcPr>
          <w:p>
            <w:pPr>
              <w:pStyle w:val="4"/>
            </w:pPr>
            <w:r>
              <w:t xml:space="preserve"> 服务时间</w:t>
            </w:r>
          </w:p>
        </w:tc>
        <w:tc>
          <w:tcPr>
            <w:tcW w:w="831" w:type="dxa"/>
          </w:tcPr>
          <w:p>
            <w:pPr>
              <w:pStyle w:val="4"/>
            </w:pPr>
            <w:r>
              <w:t xml:space="preserve"> 服务标准</w:t>
            </w:r>
          </w:p>
        </w:tc>
        <w:tc>
          <w:tcPr>
            <w:tcW w:w="831" w:type="dxa"/>
          </w:tcPr>
          <w:p>
            <w:pPr>
              <w:pStyle w:val="4"/>
            </w:pPr>
            <w:r>
              <w:t xml:space="preserve"> 单价</w:t>
            </w:r>
          </w:p>
        </w:tc>
        <w:tc>
          <w:tcPr>
            <w:tcW w:w="831" w:type="dxa"/>
          </w:tcPr>
          <w:p>
            <w:pPr>
              <w:pStyle w:val="4"/>
            </w:pPr>
            <w:r>
              <w:t xml:space="preserve"> 数量</w:t>
            </w:r>
          </w:p>
        </w:tc>
        <w:tc>
          <w:tcPr>
            <w:tcW w:w="831" w:type="dxa"/>
          </w:tcPr>
          <w:p>
            <w:pPr>
              <w:pStyle w:val="4"/>
            </w:pPr>
            <w: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4"/>
      </w:pPr>
      <w:r>
        <w:t xml:space="preserve"> 投标人签章：__________________</w:t>
      </w:r>
    </w:p>
    <w:p>
      <w:pPr>
        <w:pStyle w:val="4"/>
      </w:pPr>
      <w:r>
        <w:t>日期： 年 月 日</w:t>
      </w:r>
    </w:p>
    <w:p>
      <w:pPr>
        <w:pStyle w:val="4"/>
        <w:ind w:firstLine="480"/>
      </w:pPr>
      <w:r>
        <w:t xml:space="preserve">  </w:t>
      </w:r>
    </w:p>
    <w:p>
      <w:pPr>
        <w:pStyle w:val="4"/>
        <w:outlineLvl w:val="2"/>
      </w:pPr>
      <w:r>
        <w:rPr>
          <w:b/>
          <w:sz w:val="28"/>
        </w:rPr>
        <w:t>格式四：</w:t>
      </w:r>
    </w:p>
    <w:p>
      <w:pPr>
        <w:pStyle w:val="4"/>
        <w:jc w:val="center"/>
        <w:outlineLvl w:val="3"/>
      </w:pPr>
      <w:r>
        <w:rPr>
          <w:b/>
          <w:sz w:val="24"/>
        </w:rPr>
        <w:t>政策适用性说明</w:t>
      </w:r>
    </w:p>
    <w:p>
      <w:pPr>
        <w:pStyle w:val="4"/>
        <w:ind w:firstLine="480"/>
      </w:pPr>
      <w:r>
        <w:t>按照政府采购有关政策的要求，在本次的技术方案中，采用符合政策的小型或微型企业产品、节能产品、环境标志产品，主要产品与核心技术介绍说明如下：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序号</w:t>
            </w:r>
          </w:p>
        </w:tc>
        <w:tc>
          <w:tcPr>
            <w:tcW w:w="1038" w:type="dxa"/>
          </w:tcPr>
          <w:p>
            <w:pPr>
              <w:pStyle w:val="4"/>
            </w:pPr>
            <w:r>
              <w:t xml:space="preserve"> 主要产品/技术名称（规格型号、注册商标）</w:t>
            </w:r>
          </w:p>
        </w:tc>
        <w:tc>
          <w:tcPr>
            <w:tcW w:w="1038" w:type="dxa"/>
          </w:tcPr>
          <w:p>
            <w:pPr>
              <w:pStyle w:val="4"/>
            </w:pPr>
            <w:r>
              <w:t xml:space="preserve"> 制造商(开发商)</w:t>
            </w:r>
          </w:p>
        </w:tc>
        <w:tc>
          <w:tcPr>
            <w:tcW w:w="1038" w:type="dxa"/>
          </w:tcPr>
          <w:p>
            <w:pPr>
              <w:pStyle w:val="4"/>
            </w:pPr>
            <w:r>
              <w:t xml:space="preserve"> 制造商企业类型</w:t>
            </w:r>
          </w:p>
        </w:tc>
        <w:tc>
          <w:tcPr>
            <w:tcW w:w="1038" w:type="dxa"/>
          </w:tcPr>
          <w:p>
            <w:pPr>
              <w:pStyle w:val="4"/>
            </w:pPr>
            <w:r>
              <w:t xml:space="preserve"> 节能产品</w:t>
            </w:r>
          </w:p>
        </w:tc>
        <w:tc>
          <w:tcPr>
            <w:tcW w:w="1038" w:type="dxa"/>
          </w:tcPr>
          <w:p>
            <w:pPr>
              <w:pStyle w:val="4"/>
            </w:pPr>
            <w:r>
              <w:t xml:space="preserve"> 环境标志产品</w:t>
            </w:r>
          </w:p>
        </w:tc>
        <w:tc>
          <w:tcPr>
            <w:tcW w:w="1038" w:type="dxa"/>
          </w:tcPr>
          <w:p>
            <w:pPr>
              <w:pStyle w:val="4"/>
            </w:pPr>
            <w:r>
              <w:t xml:space="preserve"> 认证证书编号</w:t>
            </w:r>
          </w:p>
        </w:tc>
        <w:tc>
          <w:tcPr>
            <w:tcW w:w="1038" w:type="dxa"/>
          </w:tcPr>
          <w:p>
            <w:pPr>
              <w:pStyle w:val="4"/>
            </w:pPr>
            <w:r>
              <w:t xml:space="preserve"> 该产品报价在总报价中占比（%）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1</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2</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3</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4</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5</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bl>
    <w:p>
      <w:pPr>
        <w:pStyle w:val="4"/>
        <w:ind w:firstLine="480"/>
      </w:pPr>
      <w:r>
        <w:t>注：1.制造商为小型或微型企业时才需要填“制造商企业类型”栏,填写内容为“小型”或“微型”；</w:t>
      </w:r>
    </w:p>
    <w:p>
      <w:pPr>
        <w:pStyle w:val="4"/>
        <w:ind w:firstLine="480"/>
      </w:pPr>
      <w:r>
        <w:t>2.“节能产品、环境标志产品”须填写认证证书编号，并在对应“节能产品”、“环境标志产品”栏中勾选，同时提供有效期内的证书复印件（加盖投标人公章）</w:t>
      </w:r>
    </w:p>
    <w:p>
      <w:pPr>
        <w:pStyle w:val="4"/>
      </w:pPr>
      <w:r>
        <w:t xml:space="preserve"> 投标人名称（盖章）：__________________</w:t>
      </w:r>
    </w:p>
    <w:p>
      <w:pPr>
        <w:pStyle w:val="4"/>
      </w:pPr>
      <w:r>
        <w:t>日期： 年 月 日</w:t>
      </w:r>
    </w:p>
    <w:p>
      <w:pPr>
        <w:pStyle w:val="4"/>
        <w:ind w:firstLine="480"/>
      </w:pPr>
      <w:r>
        <w:t xml:space="preserve">  </w:t>
      </w:r>
    </w:p>
    <w:p>
      <w:pPr>
        <w:pStyle w:val="4"/>
        <w:outlineLvl w:val="2"/>
      </w:pPr>
      <w:r>
        <w:rPr>
          <w:b/>
          <w:sz w:val="28"/>
        </w:rPr>
        <w:t>格式五：</w:t>
      </w:r>
    </w:p>
    <w:p>
      <w:pPr>
        <w:pStyle w:val="4"/>
        <w:ind w:firstLine="480"/>
      </w:pPr>
      <w:r>
        <w:t>（投标人可使用下述格式，也可使用广东省工商行政管理局统一印制的法定代表人证明书格式）</w:t>
      </w:r>
    </w:p>
    <w:p>
      <w:pPr>
        <w:pStyle w:val="4"/>
        <w:jc w:val="center"/>
        <w:outlineLvl w:val="3"/>
      </w:pPr>
      <w:r>
        <w:rPr>
          <w:b/>
          <w:sz w:val="24"/>
        </w:rPr>
        <w:t>法定代表人证明书</w:t>
      </w:r>
    </w:p>
    <w:p>
      <w:pPr>
        <w:pStyle w:val="4"/>
        <w:ind w:firstLine="480"/>
      </w:pPr>
      <w:r>
        <w:t>_____________现任我单位_____________职务，为法定代表人，特此证明。</w:t>
      </w:r>
    </w:p>
    <w:p>
      <w:pPr>
        <w:pStyle w:val="4"/>
        <w:ind w:firstLine="480"/>
      </w:pPr>
      <w:r>
        <w:t>有效期限：__________________</w:t>
      </w:r>
    </w:p>
    <w:p>
      <w:pPr>
        <w:pStyle w:val="4"/>
        <w:ind w:firstLine="480"/>
      </w:pPr>
      <w:r>
        <w:t>附：代表人性别：_____年龄：_________ 身份证号码：__________________</w:t>
      </w:r>
    </w:p>
    <w:p>
      <w:pPr>
        <w:pStyle w:val="4"/>
        <w:ind w:firstLine="480"/>
      </w:pPr>
      <w:r>
        <w:t>注册号码：____________________企业类型：____________________________</w:t>
      </w:r>
    </w:p>
    <w:p>
      <w:pPr>
        <w:pStyle w:val="4"/>
        <w:ind w:firstLine="480"/>
      </w:pPr>
      <w:r>
        <w:t>经营范围：__________________________</w:t>
      </w:r>
    </w:p>
    <w:p>
      <w:pPr>
        <w:pStyle w:val="4"/>
      </w:pPr>
      <w:r>
        <w:t xml:space="preserve"> 投标人名称（盖章）：__________________</w:t>
      </w:r>
    </w:p>
    <w:p>
      <w:pPr>
        <w:pStyle w:val="4"/>
      </w:pPr>
      <w:r>
        <w:t xml:space="preserve"> 地址：__________________</w:t>
      </w:r>
    </w:p>
    <w:p>
      <w:pPr>
        <w:pStyle w:val="4"/>
      </w:pPr>
      <w:r>
        <w:t xml:space="preserve"> 法定代表人（签字或盖章）：__________________</w:t>
      </w:r>
    </w:p>
    <w:p>
      <w:pPr>
        <w:pStyle w:val="4"/>
      </w:pPr>
      <w:r>
        <w:t xml:space="preserve"> 职务：__________________</w:t>
      </w:r>
    </w:p>
    <w:p>
      <w:pPr>
        <w:pStyle w:val="4"/>
      </w:pPr>
      <w:r>
        <w:t xml:space="preserve"> 日期： 年 月 日</w:t>
      </w:r>
    </w:p>
    <w:p>
      <w:pPr>
        <w:pStyle w:val="4"/>
        <w:ind w:firstLine="480"/>
      </w:pPr>
      <w:r>
        <w:t xml:space="preserve">  </w:t>
      </w:r>
    </w:p>
    <w:p>
      <w:pPr>
        <w:pStyle w:val="4"/>
        <w:outlineLvl w:val="2"/>
      </w:pPr>
      <w:r>
        <w:rPr>
          <w:b/>
          <w:sz w:val="28"/>
        </w:rPr>
        <w:t>格式六：</w:t>
      </w:r>
    </w:p>
    <w:p>
      <w:pPr>
        <w:pStyle w:val="4"/>
        <w:jc w:val="center"/>
        <w:outlineLvl w:val="3"/>
      </w:pPr>
      <w:r>
        <w:rPr>
          <w:b/>
          <w:sz w:val="24"/>
        </w:rPr>
        <w:t>法定代表人授权书格式</w:t>
      </w:r>
    </w:p>
    <w:p>
      <w:pPr>
        <w:pStyle w:val="4"/>
        <w:ind w:firstLine="480"/>
      </w:pPr>
      <w:r>
        <w:t>（对于银行、保险、电信、邮政、铁路等行业以及获得总公司投标授权的分公司，可以提供投标分支机构负责人授权书）</w:t>
      </w:r>
    </w:p>
    <w:p>
      <w:pPr>
        <w:pStyle w:val="4"/>
        <w:jc w:val="center"/>
        <w:outlineLvl w:val="3"/>
      </w:pPr>
      <w:r>
        <w:rPr>
          <w:b/>
          <w:sz w:val="24"/>
        </w:rPr>
        <w:t>法定代表人授权书</w:t>
      </w:r>
    </w:p>
    <w:p>
      <w:pPr>
        <w:pStyle w:val="4"/>
        <w:ind w:firstLine="480"/>
      </w:pPr>
      <w:r>
        <w:t>致：惠州市公共资源交易中心惠城分中心</w:t>
      </w:r>
    </w:p>
    <w:p>
      <w:pPr>
        <w:pStyle w:val="4"/>
        <w:ind w:firstLine="480"/>
      </w:pPr>
      <w:r>
        <w:t xml:space="preserve">本授权书声明：________是注册于 </w:t>
      </w:r>
      <w:r>
        <w:rPr>
          <w:u w:val="single"/>
        </w:rPr>
        <w:t>（国家或地区）</w:t>
      </w:r>
      <w:r>
        <w:t>的</w:t>
      </w:r>
      <w:r>
        <w:rPr>
          <w:u w:val="single"/>
        </w:rPr>
        <w:t>（投标人名称）</w:t>
      </w:r>
      <w:r>
        <w:t xml:space="preserve">的法定代表人，现任________职务，有效证件号码：________________。现授权 </w:t>
      </w:r>
      <w:r>
        <w:rPr>
          <w:u w:val="single"/>
        </w:rPr>
        <w:t>（姓名、职务）</w:t>
      </w:r>
      <w:r>
        <w:t xml:space="preserve"> 作为我公司的全权代理人，就“惠州市第二妇幼保健院HIS系统升级改造项目”项目采购[采购项目编号为惠公易省云采惠城〔2025〕002号]的投标和合同执行，以我方的名义处理一切与之有关的事宜。</w:t>
      </w:r>
    </w:p>
    <w:p>
      <w:pPr>
        <w:pStyle w:val="4"/>
        <w:ind w:firstLine="480"/>
      </w:pPr>
      <w:r>
        <w:t>本授权书于________年________月________日签字生效，特此声明。</w:t>
      </w:r>
    </w:p>
    <w:p>
      <w:pPr>
        <w:pStyle w:val="4"/>
      </w:pPr>
      <w:r>
        <w:t xml:space="preserve"> 投标人（盖章）：__________________</w:t>
      </w:r>
    </w:p>
    <w:p>
      <w:pPr>
        <w:pStyle w:val="4"/>
      </w:pPr>
      <w:r>
        <w:t xml:space="preserve"> 地址：__________________</w:t>
      </w:r>
    </w:p>
    <w:p>
      <w:pPr>
        <w:pStyle w:val="4"/>
      </w:pPr>
      <w:r>
        <w:t xml:space="preserve"> 法定代表人（签字或盖章）：__________________</w:t>
      </w:r>
    </w:p>
    <w:p>
      <w:pPr>
        <w:pStyle w:val="4"/>
      </w:pPr>
      <w:r>
        <w:t xml:space="preserve"> 职务：__________________</w:t>
      </w:r>
    </w:p>
    <w:p>
      <w:pPr>
        <w:pStyle w:val="4"/>
      </w:pPr>
      <w:r>
        <w:t xml:space="preserve"> 被授权人（签字或盖章）：__________________</w:t>
      </w:r>
    </w:p>
    <w:p>
      <w:pPr>
        <w:pStyle w:val="4"/>
      </w:pPr>
      <w:r>
        <w:t xml:space="preserve"> 职务：__________________</w:t>
      </w:r>
    </w:p>
    <w:p>
      <w:pPr>
        <w:pStyle w:val="4"/>
      </w:pPr>
      <w:r>
        <w:t xml:space="preserve"> 日期： 年 月 日</w:t>
      </w:r>
    </w:p>
    <w:p>
      <w:pPr>
        <w:pStyle w:val="4"/>
        <w:ind w:firstLine="480"/>
      </w:pPr>
      <w:r>
        <w:t xml:space="preserve">  </w:t>
      </w:r>
    </w:p>
    <w:p>
      <w:pPr>
        <w:pStyle w:val="4"/>
        <w:outlineLvl w:val="2"/>
      </w:pPr>
      <w:r>
        <w:rPr>
          <w:b/>
          <w:sz w:val="28"/>
        </w:rPr>
        <w:t>格式七：</w:t>
      </w:r>
    </w:p>
    <w:p>
      <w:pPr>
        <w:pStyle w:val="4"/>
        <w:jc w:val="center"/>
        <w:outlineLvl w:val="3"/>
      </w:pPr>
      <w:r>
        <w:rPr>
          <w:b/>
          <w:sz w:val="24"/>
        </w:rPr>
        <w:t>投标保证金</w:t>
      </w:r>
    </w:p>
    <w:p>
      <w:pPr>
        <w:pStyle w:val="4"/>
        <w:ind w:firstLine="480"/>
      </w:pPr>
      <w:r>
        <w:t>采购文件要求递交投标保证金的，投标人应在此提供保证金的凭证的复印件。</w:t>
      </w:r>
    </w:p>
    <w:p>
      <w:pPr>
        <w:pStyle w:val="4"/>
      </w:pPr>
      <w:r>
        <w:t xml:space="preserve">  </w:t>
      </w:r>
    </w:p>
    <w:p>
      <w:pPr>
        <w:pStyle w:val="4"/>
        <w:outlineLvl w:val="2"/>
      </w:pPr>
      <w:r>
        <w:rPr>
          <w:b/>
          <w:sz w:val="28"/>
        </w:rPr>
        <w:t>格式八：</w:t>
      </w:r>
    </w:p>
    <w:p>
      <w:pPr>
        <w:pStyle w:val="4"/>
        <w:jc w:val="center"/>
        <w:outlineLvl w:val="3"/>
      </w:pPr>
      <w:r>
        <w:rPr>
          <w:b/>
          <w:sz w:val="24"/>
        </w:rPr>
        <w:t>提供具有独立承担民事责任的能力的证明材料</w:t>
      </w:r>
    </w:p>
    <w:p>
      <w:pPr>
        <w:pStyle w:val="4"/>
        <w:ind w:firstLine="480"/>
      </w:pPr>
      <w:r>
        <w:t xml:space="preserve">  </w:t>
      </w:r>
    </w:p>
    <w:p>
      <w:pPr>
        <w:pStyle w:val="4"/>
        <w:outlineLvl w:val="2"/>
      </w:pPr>
      <w:r>
        <w:rPr>
          <w:b/>
          <w:sz w:val="28"/>
        </w:rPr>
        <w:t>格式九：</w:t>
      </w:r>
    </w:p>
    <w:p>
      <w:pPr>
        <w:pStyle w:val="4"/>
        <w:jc w:val="center"/>
        <w:outlineLvl w:val="3"/>
      </w:pPr>
      <w:r>
        <w:rPr>
          <w:b/>
          <w:sz w:val="24"/>
        </w:rPr>
        <w:t>资格性审查要求的其他资质证明文件</w:t>
      </w:r>
    </w:p>
    <w:p>
      <w:pPr>
        <w:pStyle w:val="4"/>
        <w:ind w:firstLine="480"/>
      </w:pPr>
      <w:r>
        <w:t>具有履行合同所必需的设备和专业技术能力</w:t>
      </w:r>
    </w:p>
    <w:p>
      <w:pPr>
        <w:pStyle w:val="4"/>
      </w:pPr>
      <w:r>
        <w:t xml:space="preserve">  </w:t>
      </w:r>
    </w:p>
    <w:p>
      <w:pPr>
        <w:pStyle w:val="4"/>
        <w:outlineLvl w:val="2"/>
      </w:pPr>
      <w:r>
        <w:rPr>
          <w:b/>
          <w:sz w:val="28"/>
        </w:rPr>
        <w:t>格式十：</w:t>
      </w:r>
    </w:p>
    <w:p>
      <w:pPr>
        <w:pStyle w:val="4"/>
        <w:ind w:firstLine="480"/>
      </w:pPr>
      <w:r>
        <w:t>（对于采购需求写明“提供承诺”的条款，供应商可参照以下格式提供承诺）</w:t>
      </w:r>
    </w:p>
    <w:p>
      <w:pPr>
        <w:pStyle w:val="4"/>
        <w:jc w:val="center"/>
        <w:outlineLvl w:val="3"/>
      </w:pPr>
      <w:r>
        <w:rPr>
          <w:b/>
          <w:sz w:val="24"/>
        </w:rPr>
        <w:t>承诺函</w:t>
      </w:r>
    </w:p>
    <w:p>
      <w:pPr>
        <w:pStyle w:val="4"/>
        <w:ind w:firstLine="480"/>
      </w:pPr>
      <w:r>
        <w:t>致：惠州市第二妇幼保健院</w:t>
      </w:r>
      <w:r>
        <w:br w:type="textWrapping"/>
      </w:r>
    </w:p>
    <w:p>
      <w:pPr>
        <w:pStyle w:val="4"/>
        <w:ind w:firstLine="480"/>
      </w:pPr>
      <w:r>
        <w:t>对于__________________项目（项目编号：__________________），我方郑重承诺如下：</w:t>
      </w:r>
    </w:p>
    <w:p>
      <w:pPr>
        <w:pStyle w:val="4"/>
        <w:ind w:firstLine="480"/>
      </w:pPr>
      <w:r>
        <w:t>如中标/成交，我方承诺严格落实采购文件以下条款：(建议逐条复制采购文件相关条款原文)</w:t>
      </w:r>
    </w:p>
    <w:p>
      <w:pPr>
        <w:pStyle w:val="4"/>
        <w:ind w:firstLine="480"/>
      </w:pPr>
      <w:r>
        <w:t>（一）星号条款</w:t>
      </w:r>
    </w:p>
    <w:p>
      <w:pPr>
        <w:pStyle w:val="4"/>
        <w:ind w:firstLine="480"/>
      </w:pPr>
      <w:r>
        <w:t>1.</w:t>
      </w:r>
    </w:p>
    <w:p>
      <w:pPr>
        <w:pStyle w:val="4"/>
        <w:ind w:firstLine="480"/>
      </w:pPr>
      <w:r>
        <w:t>2.</w:t>
      </w:r>
    </w:p>
    <w:p>
      <w:pPr>
        <w:pStyle w:val="4"/>
        <w:ind w:firstLine="480"/>
      </w:pPr>
      <w:r>
        <w:t>3.</w:t>
      </w:r>
    </w:p>
    <w:p>
      <w:pPr>
        <w:pStyle w:val="4"/>
        <w:ind w:firstLine="480"/>
      </w:pPr>
      <w:r>
        <w:t>.........</w:t>
      </w:r>
    </w:p>
    <w:p>
      <w:pPr>
        <w:pStyle w:val="4"/>
        <w:ind w:firstLine="480"/>
      </w:pPr>
      <w:r>
        <w:t>（二）三角号条款</w:t>
      </w:r>
    </w:p>
    <w:p>
      <w:pPr>
        <w:pStyle w:val="4"/>
        <w:ind w:firstLine="480"/>
      </w:pPr>
      <w:r>
        <w:t>1.</w:t>
      </w:r>
    </w:p>
    <w:p>
      <w:pPr>
        <w:pStyle w:val="4"/>
        <w:ind w:firstLine="480"/>
      </w:pPr>
      <w:r>
        <w:t>2.</w:t>
      </w:r>
    </w:p>
    <w:p>
      <w:pPr>
        <w:pStyle w:val="4"/>
        <w:ind w:firstLine="480"/>
      </w:pPr>
      <w:r>
        <w:t>3.</w:t>
      </w:r>
    </w:p>
    <w:p>
      <w:pPr>
        <w:pStyle w:val="4"/>
        <w:ind w:firstLine="480"/>
      </w:pPr>
      <w:r>
        <w:t>.........</w:t>
      </w:r>
    </w:p>
    <w:p>
      <w:pPr>
        <w:pStyle w:val="4"/>
        <w:ind w:firstLine="480"/>
      </w:pPr>
      <w:r>
        <w:t>（三）非星号、非三角号条款</w:t>
      </w:r>
    </w:p>
    <w:p>
      <w:pPr>
        <w:pStyle w:val="4"/>
        <w:ind w:firstLine="480"/>
      </w:pPr>
      <w:r>
        <w:t>1.</w:t>
      </w:r>
    </w:p>
    <w:p>
      <w:pPr>
        <w:pStyle w:val="4"/>
        <w:ind w:firstLine="480"/>
      </w:pPr>
      <w:r>
        <w:t>2.</w:t>
      </w:r>
    </w:p>
    <w:p>
      <w:pPr>
        <w:pStyle w:val="4"/>
        <w:ind w:firstLine="480"/>
      </w:pPr>
      <w:r>
        <w:t>3.</w:t>
      </w:r>
    </w:p>
    <w:p>
      <w:pPr>
        <w:pStyle w:val="4"/>
        <w:ind w:firstLine="480"/>
      </w:pPr>
      <w:r>
        <w:t>.........</w:t>
      </w:r>
      <w:r>
        <w:br w:type="textWrapping"/>
      </w:r>
    </w:p>
    <w:p>
      <w:pPr>
        <w:pStyle w:val="4"/>
        <w:ind w:firstLine="480"/>
      </w:pPr>
      <w:r>
        <w:t>特此承诺。</w:t>
      </w:r>
    </w:p>
    <w:p>
      <w:pPr>
        <w:pStyle w:val="4"/>
      </w:pPr>
      <w:r>
        <w:t xml:space="preserve"> 供应商名称（盖章）：__________________</w:t>
      </w:r>
    </w:p>
    <w:p>
      <w:pPr>
        <w:pStyle w:val="4"/>
      </w:pPr>
      <w:r>
        <w:t xml:space="preserve"> 日期： 年 月 日</w:t>
      </w:r>
    </w:p>
    <w:p>
      <w:pPr>
        <w:pStyle w:val="4"/>
        <w:ind w:firstLine="480"/>
      </w:pPr>
      <w:r>
        <w:t xml:space="preserve">  </w:t>
      </w:r>
    </w:p>
    <w:p>
      <w:pPr>
        <w:pStyle w:val="4"/>
        <w:outlineLvl w:val="2"/>
      </w:pPr>
      <w:r>
        <w:rPr>
          <w:b/>
          <w:sz w:val="28"/>
        </w:rPr>
        <w:t>格式十一：</w:t>
      </w:r>
    </w:p>
    <w:p>
      <w:pPr>
        <w:pStyle w:val="4"/>
        <w:ind w:firstLine="480"/>
      </w:pPr>
      <w:r>
        <w:t>（以下格式文件由供应商根据需要选用）</w:t>
      </w:r>
    </w:p>
    <w:p>
      <w:pPr>
        <w:pStyle w:val="4"/>
        <w:ind w:firstLine="480"/>
      </w:pPr>
      <w:r>
        <w:t>中小企业声明函（所投产品制造商为中小企业时提交本函，所属行业应符合采购文件中明确的本项目所属行业）</w:t>
      </w:r>
    </w:p>
    <w:p>
      <w:pPr>
        <w:pStyle w:val="4"/>
        <w:jc w:val="center"/>
        <w:outlineLvl w:val="3"/>
      </w:pPr>
      <w:r>
        <w:rPr>
          <w:b/>
          <w:sz w:val="24"/>
        </w:rPr>
        <w:t>中小企业声明函（货物）</w:t>
      </w:r>
    </w:p>
    <w:p>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pStyle w:val="4"/>
        <w:ind w:firstLine="480"/>
      </w:pPr>
      <w:r>
        <w:t xml:space="preserve"> 1.</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 xml:space="preserve"> 2.</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w:t>
      </w:r>
    </w:p>
    <w:p>
      <w:pPr>
        <w:pStyle w:val="4"/>
        <w:ind w:firstLine="480"/>
      </w:pPr>
      <w:r>
        <w:t>以上企业，不属于大企业的分支机构，不存在控股股东为大企业的情形，也不存在与大企业的负责人为同一人的情形。</w:t>
      </w:r>
    </w:p>
    <w:p>
      <w:pPr>
        <w:pStyle w:val="4"/>
        <w:ind w:firstLine="480"/>
      </w:pPr>
      <w:r>
        <w:t>本企业对上述声明内容的真实性负责。如有虚假，将依法承担相应责任。</w:t>
      </w:r>
    </w:p>
    <w:p>
      <w:pPr>
        <w:pStyle w:val="4"/>
      </w:pPr>
      <w:r>
        <w:t xml:space="preserve"> 企业名称（盖章）：__________________</w:t>
      </w:r>
    </w:p>
    <w:p>
      <w:pPr>
        <w:pStyle w:val="4"/>
      </w:pPr>
      <w:r>
        <w:t xml:space="preserve"> 日期： 年 月 日</w:t>
      </w:r>
    </w:p>
    <w:p>
      <w:pPr>
        <w:pStyle w:val="4"/>
        <w:ind w:firstLine="480"/>
      </w:pPr>
      <w:r>
        <w:t>1：从业人员、营业收入、资产总额填报上一年度数据，无上一年度数据的新成立企业可不填报</w:t>
      </w:r>
    </w:p>
    <w:p>
      <w:pPr>
        <w:pStyle w:val="4"/>
        <w:ind w:firstLine="480"/>
      </w:pPr>
      <w: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4"/>
        <w:ind w:firstLine="480"/>
      </w:pPr>
      <w:r>
        <w:t xml:space="preserve">  </w:t>
      </w:r>
    </w:p>
    <w:p>
      <w:pPr>
        <w:pStyle w:val="4"/>
        <w:ind w:firstLine="480"/>
      </w:pPr>
      <w:r>
        <w:t>中小企业声明函（承建本项目工程为中小企业或者承接本项目服务为中小企业时提交本函，所属行业应符合采购文件中明确的本项目所属行业）</w:t>
      </w:r>
    </w:p>
    <w:p>
      <w:pPr>
        <w:pStyle w:val="4"/>
        <w:jc w:val="center"/>
        <w:outlineLvl w:val="3"/>
      </w:pPr>
      <w:r>
        <w:rPr>
          <w:b/>
          <w:sz w:val="24"/>
        </w:rPr>
        <w:t>中小企业声明函（工程、服务）</w:t>
      </w:r>
    </w:p>
    <w:p>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pStyle w:val="4"/>
        <w:ind w:firstLine="480"/>
      </w:pPr>
      <w:r>
        <w:t xml:space="preserve"> 1.</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 xml:space="preserve"> 2.</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w:t>
      </w:r>
    </w:p>
    <w:p>
      <w:pPr>
        <w:pStyle w:val="4"/>
        <w:ind w:firstLine="480"/>
      </w:pPr>
      <w:r>
        <w:t>以上企业，不属于大企业的分支机构，不存在控股股东为大企业的情形，也不存在与大企业的负责人为同一人的情形。</w:t>
      </w:r>
    </w:p>
    <w:p>
      <w:pPr>
        <w:pStyle w:val="4"/>
        <w:ind w:firstLine="480"/>
      </w:pPr>
      <w:r>
        <w:t>本企业对上述声明内容的真实性负责。如有虚假，将依法承担相应责任。</w:t>
      </w:r>
    </w:p>
    <w:p>
      <w:pPr>
        <w:pStyle w:val="4"/>
      </w:pPr>
      <w:r>
        <w:t xml:space="preserve"> 企业名称（盖章）：__________________</w:t>
      </w:r>
    </w:p>
    <w:p>
      <w:pPr>
        <w:pStyle w:val="4"/>
      </w:pPr>
      <w:r>
        <w:t xml:space="preserve"> 日期： 年 月 日</w:t>
      </w:r>
    </w:p>
    <w:p>
      <w:pPr>
        <w:pStyle w:val="4"/>
        <w:ind w:firstLine="480"/>
      </w:pPr>
      <w:r>
        <w:t>1：从业人员、营业收入、资产总额填报上一年度数据，无上一年度数据的新成立企业可不填报。</w:t>
      </w:r>
    </w:p>
    <w:p>
      <w:pPr>
        <w:pStyle w:val="4"/>
        <w:ind w:firstLine="480"/>
      </w:pPr>
      <w:r>
        <w:t>2：投标人应当自行核实是否属于小微企业，并认真填写声明函，若有虚假将追究其责任。</w:t>
      </w:r>
    </w:p>
    <w:p>
      <w:pPr>
        <w:pStyle w:val="4"/>
        <w:ind w:firstLine="480"/>
      </w:pPr>
      <w:r>
        <w:t xml:space="preserve">  </w:t>
      </w:r>
    </w:p>
    <w:p>
      <w:pPr>
        <w:pStyle w:val="4"/>
        <w:outlineLvl w:val="2"/>
      </w:pPr>
      <w:r>
        <w:rPr>
          <w:b/>
          <w:sz w:val="28"/>
        </w:rPr>
        <w:t>格式十二：</w:t>
      </w:r>
    </w:p>
    <w:p>
      <w:pPr>
        <w:pStyle w:val="4"/>
        <w:ind w:firstLine="480"/>
      </w:pPr>
      <w:r>
        <w:t>（以下格式文件由供应商根据需要选用）</w:t>
      </w:r>
    </w:p>
    <w:p>
      <w:pPr>
        <w:pStyle w:val="4"/>
        <w:jc w:val="center"/>
        <w:outlineLvl w:val="3"/>
      </w:pPr>
      <w:r>
        <w:rPr>
          <w:b/>
          <w:sz w:val="24"/>
        </w:rPr>
        <w:t>监狱企业</w:t>
      </w:r>
    </w:p>
    <w:p>
      <w:pPr>
        <w:pStyle w:val="4"/>
        <w:ind w:firstLine="480"/>
      </w:pPr>
      <w:r>
        <w:t>提供由监狱管理局、戒毒管理局（含新疆生产建设兵团）出具的属于监狱企业的证明文件。</w:t>
      </w:r>
    </w:p>
    <w:p>
      <w:pPr>
        <w:pStyle w:val="4"/>
        <w:ind w:firstLine="480"/>
      </w:pPr>
      <w:r>
        <w:t xml:space="preserve">  </w:t>
      </w:r>
    </w:p>
    <w:p>
      <w:pPr>
        <w:pStyle w:val="4"/>
        <w:outlineLvl w:val="2"/>
      </w:pPr>
      <w:r>
        <w:rPr>
          <w:b/>
          <w:sz w:val="28"/>
        </w:rPr>
        <w:t>格式十三：</w:t>
      </w:r>
    </w:p>
    <w:p>
      <w:pPr>
        <w:pStyle w:val="4"/>
        <w:ind w:firstLine="480"/>
      </w:pPr>
      <w:r>
        <w:t>（以下格式文件由供应商根据需要选用）</w:t>
      </w:r>
    </w:p>
    <w:p>
      <w:pPr>
        <w:pStyle w:val="4"/>
        <w:jc w:val="center"/>
        <w:outlineLvl w:val="3"/>
      </w:pPr>
      <w:r>
        <w:rPr>
          <w:b/>
          <w:sz w:val="24"/>
        </w:rPr>
        <w:t>残疾人福利性单位声明函</w:t>
      </w:r>
    </w:p>
    <w:p>
      <w:pPr>
        <w:pStyle w:val="4"/>
        <w:ind w:firstLine="480"/>
      </w:pPr>
      <w: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4"/>
        <w:ind w:firstLine="480"/>
      </w:pPr>
      <w:r>
        <w:t>本单位对上述声明的真实性负责。如有虚假，将依法承担相应责任。</w:t>
      </w:r>
    </w:p>
    <w:p>
      <w:pPr>
        <w:pStyle w:val="4"/>
      </w:pPr>
      <w:r>
        <w:t xml:space="preserve"> 单位名称（盖章）：__________________</w:t>
      </w:r>
    </w:p>
    <w:p>
      <w:pPr>
        <w:pStyle w:val="4"/>
      </w:pPr>
      <w:r>
        <w:t xml:space="preserve"> 日期： 年 月 日</w:t>
      </w:r>
    </w:p>
    <w:p>
      <w:pPr>
        <w:pStyle w:val="4"/>
        <w:ind w:firstLine="480"/>
      </w:pPr>
      <w:r>
        <w:t>注：本函未填写或未勾选视作未做声明。</w:t>
      </w:r>
    </w:p>
    <w:p>
      <w:pPr>
        <w:pStyle w:val="4"/>
        <w:ind w:firstLine="480"/>
      </w:pPr>
      <w:r>
        <w:t xml:space="preserve">  </w:t>
      </w:r>
    </w:p>
    <w:p>
      <w:pPr>
        <w:pStyle w:val="4"/>
        <w:outlineLvl w:val="2"/>
      </w:pPr>
      <w:r>
        <w:rPr>
          <w:b/>
          <w:sz w:val="28"/>
        </w:rPr>
        <w:t>格式十四：</w:t>
      </w:r>
    </w:p>
    <w:p>
      <w:pPr>
        <w:pStyle w:val="4"/>
        <w:ind w:firstLine="480"/>
      </w:pPr>
      <w:r>
        <w:t>（以下格式文件由供应商根据需要选用）</w:t>
      </w:r>
    </w:p>
    <w:p>
      <w:pPr>
        <w:pStyle w:val="4"/>
        <w:jc w:val="center"/>
        <w:outlineLvl w:val="3"/>
      </w:pPr>
      <w:r>
        <w:rPr>
          <w:b/>
          <w:sz w:val="24"/>
        </w:rPr>
        <w:t>联合体共同投标协议书</w:t>
      </w:r>
    </w:p>
    <w:p>
      <w:pPr>
        <w:pStyle w:val="4"/>
        <w:ind w:firstLine="480"/>
      </w:pPr>
      <w:r>
        <w:t>立约方：</w:t>
      </w:r>
      <w:r>
        <w:rPr>
          <w:u w:val="single"/>
        </w:rPr>
        <w:t>（甲公司全称）</w:t>
      </w:r>
    </w:p>
    <w:p>
      <w:pPr>
        <w:pStyle w:val="4"/>
        <w:ind w:firstLine="480"/>
      </w:pPr>
      <w:r>
        <w:rPr>
          <w:u w:val="single"/>
        </w:rPr>
        <w:t>（乙公司全称）</w:t>
      </w:r>
    </w:p>
    <w:p>
      <w:pPr>
        <w:pStyle w:val="4"/>
        <w:ind w:firstLine="480"/>
      </w:pPr>
      <w:r>
        <w:rPr>
          <w:u w:val="single"/>
        </w:rPr>
        <w:t>（……公司全称）</w:t>
      </w:r>
    </w:p>
    <w:p>
      <w:pPr>
        <w:pStyle w:val="4"/>
        <w:ind w:firstLine="480"/>
      </w:pPr>
      <w:r>
        <w:rPr>
          <w:u w:val="single"/>
        </w:rPr>
        <w:t>（甲公司全称）、（乙公司全称）、（……公司全称）</w:t>
      </w:r>
      <w:r>
        <w:t>自愿组成联合体，以一个投标人的身份共同参加（采购项目名称）（采购项目编号）的响应活动。经各方充分协商一致，就项目的响应和合同实施阶段的有关事务协商一致订立协议如下：</w:t>
      </w:r>
    </w:p>
    <w:p>
      <w:pPr>
        <w:pStyle w:val="4"/>
        <w:ind w:firstLine="480"/>
      </w:pPr>
      <w:r>
        <w:t>一、联合体各方关系</w:t>
      </w:r>
    </w:p>
    <w:p>
      <w:pPr>
        <w:pStyle w:val="4"/>
        <w:ind w:firstLine="480"/>
      </w:pPr>
      <w:r>
        <w:rPr>
          <w:u w:val="single"/>
        </w:rPr>
        <w:t>（甲公司全称）、（乙公司全称）、（……公司全称）</w:t>
      </w:r>
      <w:r>
        <w:t>共同组成一个联合体，以一个投标人的身份共同参加本项目的响应。（甲公司全称）、（乙公司全称）、（……公司全称）作为联合体成员，若中标，联合体各方共同与（采购人）签订政府采购合同。</w:t>
      </w:r>
    </w:p>
    <w:p>
      <w:pPr>
        <w:pStyle w:val="4"/>
        <w:ind w:firstLine="480"/>
      </w:pPr>
      <w:r>
        <w:t>二、联合体内部有关事项约定如下：</w:t>
      </w:r>
    </w:p>
    <w:p>
      <w:pPr>
        <w:pStyle w:val="4"/>
        <w:ind w:firstLine="480"/>
      </w:pPr>
      <w:r>
        <w:t>1.（甲公司全称）作为联合体的牵头单位，代表联合体双方负责投标和合同实施阶段的主办、协调工作。</w:t>
      </w:r>
    </w:p>
    <w:p>
      <w:pPr>
        <w:pStyle w:val="4"/>
        <w:ind w:firstLine="480"/>
      </w:pPr>
      <w: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4"/>
        <w:ind w:firstLine="480"/>
      </w:pPr>
      <w:r>
        <w:t>3.如果本联合体中标，</w:t>
      </w:r>
      <w:r>
        <w:rPr>
          <w:u w:val="single"/>
        </w:rPr>
        <w:t>（甲公司全称）</w:t>
      </w:r>
      <w:r>
        <w:t>负责本项目___________部分，</w:t>
      </w:r>
      <w:r>
        <w:rPr>
          <w:u w:val="single"/>
        </w:rPr>
        <w:t>（乙公司全称）</w:t>
      </w:r>
      <w:r>
        <w:t>负责本项目___________部分。</w:t>
      </w:r>
    </w:p>
    <w:p>
      <w:pPr>
        <w:pStyle w:val="4"/>
        <w:ind w:firstLine="480"/>
      </w:pPr>
      <w:r>
        <w:t>4.如中标，联合体各方共同与（采购人）签订合同书，并就中标项目向采购人负责有连带的和各自的法律责任；</w:t>
      </w:r>
    </w:p>
    <w:p>
      <w:pPr>
        <w:pStyle w:val="4"/>
        <w:ind w:firstLine="480"/>
      </w:pPr>
      <w:r>
        <w:t>5.联合体成员（公司全称）为（请填写：小型、微型）企业，将承担合同总金额_____%的工作内容（联合体成员中有小型、微型企业时适用）。</w:t>
      </w:r>
    </w:p>
    <w:p>
      <w:pPr>
        <w:pStyle w:val="4"/>
        <w:ind w:firstLine="480"/>
      </w:pPr>
      <w: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4"/>
        <w:ind w:firstLine="480"/>
      </w:pPr>
      <w:r>
        <w:t>四、联合体如因违约过失责任而导致采购人经济损失或被索赔时，本联合体任何一方均同意无条件优先清偿采购人的一切债务和经济赔偿。</w:t>
      </w:r>
    </w:p>
    <w:p>
      <w:pPr>
        <w:pStyle w:val="4"/>
        <w:ind w:firstLine="480"/>
      </w:pPr>
      <w:r>
        <w:t>五、本协议在自签署之日起生效，有效期内有效，如获中标资格，合同有效期延续至合同履行完毕之日。</w:t>
      </w:r>
    </w:p>
    <w:p>
      <w:pPr>
        <w:pStyle w:val="4"/>
        <w:ind w:firstLine="480"/>
      </w:pPr>
      <w:r>
        <w:t>六、本协议书正本一式_____份，随投标文件装订_____份，送采购人_____份，联合体成员各一份；副本一式_____份，联合体成员各执_____份。</w:t>
      </w:r>
    </w:p>
    <w:p>
      <w:pPr>
        <w:pStyle w:val="4"/>
      </w:pPr>
      <w:r>
        <w:t xml:space="preserve"> 甲公司全称：____（盖章）________，乙公司全称：____（盖章）________，……公司全称：____（盖章）________，</w:t>
      </w:r>
    </w:p>
    <w:p>
      <w:pPr>
        <w:pStyle w:val="4"/>
      </w:pPr>
      <w:r>
        <w:t xml:space="preserve"> ____年____月 ____日，____年____月____日，____年____月____日</w:t>
      </w:r>
    </w:p>
    <w:p>
      <w:pPr>
        <w:pStyle w:val="4"/>
        <w:ind w:firstLine="480"/>
      </w:pPr>
      <w:r>
        <w:t>注：1．联合响应时需签本协议，联合体各方成员应在本协议上共同盖章确认。</w:t>
      </w:r>
    </w:p>
    <w:p>
      <w:pPr>
        <w:pStyle w:val="4"/>
        <w:ind w:firstLine="480"/>
      </w:pPr>
      <w:r>
        <w:t>2．本协议内容不得擅自修改。此协议将作为签订合同的附件之一。</w:t>
      </w:r>
    </w:p>
    <w:p>
      <w:pPr>
        <w:pStyle w:val="4"/>
        <w:ind w:firstLine="480"/>
      </w:pPr>
      <w:r>
        <w:t xml:space="preserve">  </w:t>
      </w:r>
    </w:p>
    <w:p>
      <w:pPr>
        <w:pStyle w:val="4"/>
        <w:outlineLvl w:val="2"/>
      </w:pPr>
      <w:r>
        <w:rPr>
          <w:b/>
          <w:sz w:val="28"/>
        </w:rPr>
        <w:t>格式十五：</w:t>
      </w:r>
    </w:p>
    <w:p>
      <w:pPr>
        <w:pStyle w:val="4"/>
        <w:ind w:firstLine="480"/>
      </w:pPr>
      <w:r>
        <w:t>（以下格式文件由供应商根据需要选用）</w:t>
      </w:r>
    </w:p>
    <w:p>
      <w:pPr>
        <w:pStyle w:val="4"/>
        <w:jc w:val="center"/>
        <w:outlineLvl w:val="3"/>
      </w:pPr>
      <w:r>
        <w:rPr>
          <w:b/>
          <w:sz w:val="24"/>
        </w:rPr>
        <w:t>投标人业绩情况表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4" w:type="dxa"/>
          </w:tcPr>
          <w:p>
            <w:pPr>
              <w:pStyle w:val="4"/>
            </w:pPr>
            <w:r>
              <w:t>序号</w:t>
            </w:r>
          </w:p>
        </w:tc>
        <w:tc>
          <w:tcPr>
            <w:tcW w:w="1384" w:type="dxa"/>
          </w:tcPr>
          <w:p>
            <w:pPr>
              <w:pStyle w:val="4"/>
            </w:pPr>
            <w:r>
              <w:t>客户名称</w:t>
            </w:r>
          </w:p>
        </w:tc>
        <w:tc>
          <w:tcPr>
            <w:tcW w:w="1384" w:type="dxa"/>
          </w:tcPr>
          <w:p>
            <w:pPr>
              <w:pStyle w:val="4"/>
            </w:pPr>
            <w:r>
              <w:t>项目名称及合同金额（万元）</w:t>
            </w:r>
          </w:p>
        </w:tc>
        <w:tc>
          <w:tcPr>
            <w:tcW w:w="1384" w:type="dxa"/>
          </w:tcPr>
          <w:p>
            <w:pPr>
              <w:pStyle w:val="4"/>
            </w:pPr>
            <w:r>
              <w:t>签订合同时间</w:t>
            </w:r>
          </w:p>
        </w:tc>
        <w:tc>
          <w:tcPr>
            <w:tcW w:w="1384" w:type="dxa"/>
          </w:tcPr>
          <w:p>
            <w:pPr>
              <w:pStyle w:val="4"/>
            </w:pPr>
            <w:r>
              <w:t>竣工验收报告时间</w:t>
            </w:r>
          </w:p>
        </w:tc>
        <w:tc>
          <w:tcPr>
            <w:tcW w:w="1384" w:type="dxa"/>
          </w:tcPr>
          <w:p>
            <w:pPr>
              <w:pStyle w:val="4"/>
            </w:pPr>
            <w: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1</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2</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3</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4</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w:t>
            </w:r>
          </w:p>
        </w:tc>
        <w:tc>
          <w:tcPr>
            <w:tcW w:w="1384" w:type="dxa"/>
          </w:tcPr>
          <w:p/>
        </w:tc>
        <w:tc>
          <w:tcPr>
            <w:tcW w:w="1384" w:type="dxa"/>
          </w:tcPr>
          <w:p/>
        </w:tc>
        <w:tc>
          <w:tcPr>
            <w:tcW w:w="1384" w:type="dxa"/>
          </w:tcPr>
          <w:p/>
        </w:tc>
        <w:tc>
          <w:tcPr>
            <w:tcW w:w="1384" w:type="dxa"/>
          </w:tcPr>
          <w:p/>
        </w:tc>
        <w:tc>
          <w:tcPr>
            <w:tcW w:w="1384" w:type="dxa"/>
          </w:tcPr>
          <w:p/>
        </w:tc>
      </w:tr>
    </w:tbl>
    <w:p>
      <w:pPr>
        <w:pStyle w:val="4"/>
        <w:ind w:firstLine="480"/>
      </w:pPr>
      <w:r>
        <w:t>根据上述业绩情况，按招标文件要求附销售或服务合同复印件及评审标准要求的证明材料。</w:t>
      </w:r>
    </w:p>
    <w:p>
      <w:pPr>
        <w:pStyle w:val="4"/>
        <w:ind w:firstLine="480"/>
      </w:pPr>
      <w:r>
        <w:t xml:space="preserve">  </w:t>
      </w:r>
    </w:p>
    <w:p>
      <w:pPr>
        <w:pStyle w:val="4"/>
        <w:outlineLvl w:val="2"/>
      </w:pPr>
      <w:r>
        <w:rPr>
          <w:b/>
          <w:sz w:val="28"/>
        </w:rPr>
        <w:t>格式十六：</w:t>
      </w:r>
    </w:p>
    <w:p>
      <w:pPr>
        <w:pStyle w:val="4"/>
        <w:jc w:val="center"/>
        <w:outlineLvl w:val="3"/>
      </w:pPr>
      <w:r>
        <w:rPr>
          <w:b/>
          <w:sz w:val="24"/>
        </w:rPr>
        <w:t>《技术和服务要求响应表》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3" w:type="dxa"/>
          </w:tcPr>
          <w:p>
            <w:pPr>
              <w:pStyle w:val="4"/>
            </w:pPr>
            <w:r>
              <w:t>序号</w:t>
            </w:r>
          </w:p>
        </w:tc>
        <w:tc>
          <w:tcPr>
            <w:tcW w:w="923" w:type="dxa"/>
          </w:tcPr>
          <w:p>
            <w:pPr>
              <w:pStyle w:val="4"/>
            </w:pPr>
            <w:r>
              <w:t>标的名称</w:t>
            </w:r>
          </w:p>
        </w:tc>
        <w:tc>
          <w:tcPr>
            <w:tcW w:w="923" w:type="dxa"/>
          </w:tcPr>
          <w:p>
            <w:pPr>
              <w:pStyle w:val="4"/>
            </w:pPr>
            <w:r>
              <w:t>参数性质</w:t>
            </w:r>
          </w:p>
        </w:tc>
        <w:tc>
          <w:tcPr>
            <w:tcW w:w="923" w:type="dxa"/>
          </w:tcPr>
          <w:p>
            <w:pPr>
              <w:pStyle w:val="4"/>
            </w:pPr>
            <w:r>
              <w:t>采购文件规定的技术和服务要求</w:t>
            </w:r>
          </w:p>
        </w:tc>
        <w:tc>
          <w:tcPr>
            <w:tcW w:w="923" w:type="dxa"/>
          </w:tcPr>
          <w:p>
            <w:pPr>
              <w:pStyle w:val="4"/>
            </w:pPr>
            <w:r>
              <w:t>投标文件响应的具体内容</w:t>
            </w:r>
          </w:p>
        </w:tc>
        <w:tc>
          <w:tcPr>
            <w:tcW w:w="923" w:type="dxa"/>
          </w:tcPr>
          <w:p>
            <w:pPr>
              <w:pStyle w:val="4"/>
            </w:pPr>
            <w:r>
              <w:t>型号</w:t>
            </w:r>
          </w:p>
        </w:tc>
        <w:tc>
          <w:tcPr>
            <w:tcW w:w="923" w:type="dxa"/>
          </w:tcPr>
          <w:p>
            <w:pPr>
              <w:pStyle w:val="4"/>
            </w:pPr>
            <w:r>
              <w:t>是否偏离</w:t>
            </w:r>
          </w:p>
        </w:tc>
        <w:tc>
          <w:tcPr>
            <w:tcW w:w="923" w:type="dxa"/>
          </w:tcPr>
          <w:p>
            <w:pPr>
              <w:pStyle w:val="4"/>
            </w:pPr>
            <w:r>
              <w:t>证明文件所在位置</w:t>
            </w:r>
          </w:p>
        </w:tc>
        <w:tc>
          <w:tcPr>
            <w:tcW w:w="923" w:type="dxa"/>
          </w:tcPr>
          <w:p>
            <w:pPr>
              <w:pStyle w:val="4"/>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1</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2</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3</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4</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5</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6</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bl>
    <w:p>
      <w:pPr>
        <w:pStyle w:val="4"/>
        <w:ind w:firstLine="480"/>
      </w:pPr>
      <w:r>
        <w:t>说明：</w:t>
      </w:r>
    </w:p>
    <w:p>
      <w:pPr>
        <w:pStyle w:val="4"/>
        <w:ind w:firstLine="480"/>
      </w:pPr>
      <w: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4"/>
        <w:ind w:firstLine="480"/>
      </w:pPr>
      <w: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4"/>
        <w:ind w:firstLine="480"/>
      </w:pPr>
      <w:r>
        <w:t>3. “是否偏离”项下应按下列规定填写：优于的，填写“正偏离”；符合的，填写“无偏离”；低于的，填写“负偏离”。</w:t>
      </w:r>
    </w:p>
    <w:p>
      <w:pPr>
        <w:pStyle w:val="4"/>
        <w:ind w:firstLine="480"/>
      </w:pPr>
      <w:r>
        <w:t>4.“备注”处可填写偏离情况的说明。</w:t>
      </w:r>
    </w:p>
    <w:p>
      <w:pPr>
        <w:pStyle w:val="4"/>
        <w:ind w:firstLine="480"/>
      </w:pPr>
      <w:r>
        <w:t xml:space="preserve">  </w:t>
      </w:r>
    </w:p>
    <w:p>
      <w:pPr>
        <w:pStyle w:val="4"/>
        <w:outlineLvl w:val="2"/>
      </w:pPr>
      <w:r>
        <w:rPr>
          <w:b/>
          <w:sz w:val="28"/>
        </w:rPr>
        <w:t>格式十七：</w:t>
      </w:r>
    </w:p>
    <w:p>
      <w:pPr>
        <w:pStyle w:val="4"/>
        <w:jc w:val="center"/>
        <w:outlineLvl w:val="3"/>
      </w:pPr>
      <w:r>
        <w:rPr>
          <w:b/>
          <w:sz w:val="24"/>
        </w:rPr>
        <w:t>《商务条件响应表》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 xml:space="preserve"> 序号</w:t>
            </w:r>
          </w:p>
        </w:tc>
        <w:tc>
          <w:tcPr>
            <w:tcW w:w="1187" w:type="dxa"/>
          </w:tcPr>
          <w:p>
            <w:pPr>
              <w:pStyle w:val="4"/>
            </w:pPr>
            <w:r>
              <w:t xml:space="preserve"> 参数性质</w:t>
            </w:r>
          </w:p>
        </w:tc>
        <w:tc>
          <w:tcPr>
            <w:tcW w:w="1187" w:type="dxa"/>
          </w:tcPr>
          <w:p>
            <w:pPr>
              <w:pStyle w:val="4"/>
            </w:pPr>
            <w:r>
              <w:t xml:space="preserve"> 采购文件规定的商务条件</w:t>
            </w:r>
          </w:p>
        </w:tc>
        <w:tc>
          <w:tcPr>
            <w:tcW w:w="1187" w:type="dxa"/>
          </w:tcPr>
          <w:p>
            <w:pPr>
              <w:pStyle w:val="4"/>
            </w:pPr>
            <w:r>
              <w:t xml:space="preserve"> 投标文件响应的具体内容</w:t>
            </w:r>
          </w:p>
        </w:tc>
        <w:tc>
          <w:tcPr>
            <w:tcW w:w="1187" w:type="dxa"/>
          </w:tcPr>
          <w:p>
            <w:pPr>
              <w:pStyle w:val="4"/>
            </w:pPr>
            <w:r>
              <w:t xml:space="preserve"> 是否偏离</w:t>
            </w:r>
          </w:p>
        </w:tc>
        <w:tc>
          <w:tcPr>
            <w:tcW w:w="1187" w:type="dxa"/>
          </w:tcPr>
          <w:p>
            <w:pPr>
              <w:pStyle w:val="4"/>
            </w:pPr>
            <w:r>
              <w:t xml:space="preserve"> 证明文件所在位置</w:t>
            </w:r>
          </w:p>
        </w:tc>
        <w:tc>
          <w:tcPr>
            <w:tcW w:w="1187" w:type="dxa"/>
          </w:tcPr>
          <w:p>
            <w:pPr>
              <w:pStyle w:val="4"/>
            </w:pPr>
            <w:r>
              <w:t xml:space="preserve"> 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1</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2</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3</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4</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5</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6</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7</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8</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9</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 xml:space="preserve"> ……</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bl>
    <w:p>
      <w:pPr>
        <w:pStyle w:val="4"/>
        <w:ind w:firstLine="480"/>
      </w:pPr>
      <w:r>
        <w:t>说明：</w:t>
      </w:r>
    </w:p>
    <w:p>
      <w:pPr>
        <w:pStyle w:val="4"/>
        <w:ind w:firstLine="480"/>
      </w:pPr>
      <w:r>
        <w:t>1. “采购文件规定的商务条件”项下填写的内容应与招标文件中采购需求的 “商务要求”的内容保持一致。</w:t>
      </w:r>
    </w:p>
    <w:p>
      <w:pPr>
        <w:pStyle w:val="4"/>
        <w:ind w:firstLine="480"/>
      </w:pPr>
      <w: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4"/>
        <w:ind w:firstLine="480"/>
      </w:pPr>
      <w: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4"/>
        <w:ind w:firstLine="480"/>
      </w:pPr>
      <w:r>
        <w:t>4. “是否偏离”项下应按下列规定填写：优于的，填写“正偏离”；符合的，填写“无偏离”；低于的，填写“负偏离”。</w:t>
      </w:r>
    </w:p>
    <w:p>
      <w:pPr>
        <w:pStyle w:val="4"/>
        <w:ind w:firstLine="480"/>
      </w:pPr>
      <w:r>
        <w:t>5.“备注”处可填写偏离情况的说明。</w:t>
      </w:r>
    </w:p>
    <w:p>
      <w:pPr>
        <w:pStyle w:val="4"/>
        <w:ind w:firstLine="480"/>
      </w:pPr>
      <w:r>
        <w:t xml:space="preserve">  </w:t>
      </w:r>
    </w:p>
    <w:p>
      <w:pPr>
        <w:pStyle w:val="4"/>
        <w:outlineLvl w:val="2"/>
      </w:pPr>
      <w:r>
        <w:rPr>
          <w:b/>
          <w:sz w:val="28"/>
        </w:rPr>
        <w:t>格式十八：</w:t>
      </w:r>
    </w:p>
    <w:p>
      <w:pPr>
        <w:pStyle w:val="4"/>
        <w:ind w:firstLine="480"/>
      </w:pPr>
      <w:r>
        <w:t>（以下格式文件由供应商根据需要选用）</w:t>
      </w:r>
    </w:p>
    <w:p>
      <w:pPr>
        <w:pStyle w:val="4"/>
        <w:jc w:val="center"/>
        <w:outlineLvl w:val="3"/>
      </w:pPr>
      <w:r>
        <w:rPr>
          <w:b/>
          <w:sz w:val="24"/>
        </w:rPr>
        <w:t>履约进度计划表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pPr>
              <w:pStyle w:val="4"/>
            </w:pPr>
            <w:r>
              <w:t>序号</w:t>
            </w:r>
          </w:p>
        </w:tc>
        <w:tc>
          <w:tcPr>
            <w:tcW w:w="2076" w:type="dxa"/>
          </w:tcPr>
          <w:p>
            <w:pPr>
              <w:pStyle w:val="4"/>
            </w:pPr>
            <w:r>
              <w:t xml:space="preserve"> 拟定时间安排</w:t>
            </w:r>
          </w:p>
        </w:tc>
        <w:tc>
          <w:tcPr>
            <w:tcW w:w="2076" w:type="dxa"/>
          </w:tcPr>
          <w:p>
            <w:pPr>
              <w:pStyle w:val="4"/>
            </w:pPr>
            <w:r>
              <w:t xml:space="preserve"> 计划完成的工作内容</w:t>
            </w:r>
          </w:p>
        </w:tc>
        <w:tc>
          <w:tcPr>
            <w:tcW w:w="2076" w:type="dxa"/>
          </w:tcPr>
          <w:p>
            <w:pPr>
              <w:pStyle w:val="4"/>
            </w:pPr>
            <w:r>
              <w:t xml:space="preserve"> 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 xml:space="preserve"> 1</w:t>
            </w:r>
          </w:p>
        </w:tc>
        <w:tc>
          <w:tcPr>
            <w:tcW w:w="2076" w:type="dxa"/>
          </w:tcPr>
          <w:p>
            <w:pPr>
              <w:pStyle w:val="4"/>
            </w:pPr>
            <w:r>
              <w:t xml:space="preserve"> 拟定___年___月___日</w:t>
            </w:r>
          </w:p>
        </w:tc>
        <w:tc>
          <w:tcPr>
            <w:tcW w:w="2076" w:type="dxa"/>
          </w:tcPr>
          <w:p>
            <w:pPr>
              <w:pStyle w:val="4"/>
            </w:pPr>
            <w:r>
              <w:t xml:space="preserve"> 签订合同并生效</w:t>
            </w: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 xml:space="preserve"> 2</w:t>
            </w:r>
          </w:p>
        </w:tc>
        <w:tc>
          <w:tcPr>
            <w:tcW w:w="2076" w:type="dxa"/>
          </w:tcPr>
          <w:p>
            <w:pPr>
              <w:pStyle w:val="4"/>
            </w:pPr>
            <w:r>
              <w:t xml:space="preserve"> 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 xml:space="preserve"> 3</w:t>
            </w:r>
          </w:p>
        </w:tc>
        <w:tc>
          <w:tcPr>
            <w:tcW w:w="2076" w:type="dxa"/>
          </w:tcPr>
          <w:p>
            <w:pPr>
              <w:pStyle w:val="4"/>
            </w:pPr>
            <w:r>
              <w:t xml:space="preserve"> 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 xml:space="preserve"> 4</w:t>
            </w:r>
          </w:p>
        </w:tc>
        <w:tc>
          <w:tcPr>
            <w:tcW w:w="2076" w:type="dxa"/>
          </w:tcPr>
          <w:p>
            <w:pPr>
              <w:pStyle w:val="4"/>
            </w:pPr>
            <w:r>
              <w:t xml:space="preserve"> ___月___日—___月___日</w:t>
            </w:r>
          </w:p>
        </w:tc>
        <w:tc>
          <w:tcPr>
            <w:tcW w:w="2076" w:type="dxa"/>
          </w:tcPr>
          <w:p>
            <w:pPr>
              <w:pStyle w:val="4"/>
            </w:pPr>
            <w:r>
              <w:t xml:space="preserve"> 质保期</w:t>
            </w:r>
          </w:p>
        </w:tc>
        <w:tc>
          <w:tcPr>
            <w:tcW w:w="2076" w:type="dxa"/>
          </w:tcPr>
          <w:p/>
        </w:tc>
      </w:tr>
    </w:tbl>
    <w:p>
      <w:pPr>
        <w:pStyle w:val="4"/>
        <w:ind w:firstLine="480"/>
      </w:pPr>
      <w:r>
        <w:t xml:space="preserve">  </w:t>
      </w:r>
    </w:p>
    <w:p>
      <w:pPr>
        <w:pStyle w:val="4"/>
        <w:outlineLvl w:val="2"/>
      </w:pPr>
      <w:r>
        <w:rPr>
          <w:b/>
          <w:sz w:val="28"/>
        </w:rPr>
        <w:t>格式十九：</w:t>
      </w:r>
    </w:p>
    <w:p>
      <w:pPr>
        <w:pStyle w:val="4"/>
        <w:ind w:firstLine="480"/>
      </w:pPr>
      <w:r>
        <w:t>（以下格式文件由供应商根据需要选用）</w:t>
      </w:r>
    </w:p>
    <w:p>
      <w:pPr>
        <w:pStyle w:val="4"/>
        <w:jc w:val="center"/>
        <w:outlineLvl w:val="3"/>
      </w:pPr>
      <w:r>
        <w:rPr>
          <w:b/>
          <w:sz w:val="24"/>
        </w:rPr>
        <w:t>各类证明材料</w:t>
      </w:r>
    </w:p>
    <w:p>
      <w:pPr>
        <w:pStyle w:val="4"/>
        <w:ind w:firstLine="480"/>
      </w:pPr>
      <w:r>
        <w:t>1.招标文件要求提供的其他资料。</w:t>
      </w:r>
    </w:p>
    <w:p>
      <w:pPr>
        <w:pStyle w:val="4"/>
        <w:ind w:firstLine="480"/>
      </w:pPr>
      <w:r>
        <w:t>2.投标人认为需提供的其他资料。</w:t>
      </w:r>
    </w:p>
    <w:p>
      <w:pPr>
        <w:pStyle w:val="4"/>
        <w:ind w:firstLine="480"/>
      </w:pPr>
      <w:r>
        <w:t xml:space="preserve">  </w:t>
      </w:r>
    </w:p>
    <w:p>
      <w:pPr>
        <w:pStyle w:val="4"/>
        <w:outlineLvl w:val="2"/>
      </w:pPr>
      <w:r>
        <w:rPr>
          <w:b/>
          <w:sz w:val="28"/>
        </w:rPr>
        <w:t>格式二十：</w:t>
      </w:r>
    </w:p>
    <w:p>
      <w:pPr>
        <w:pStyle w:val="4"/>
        <w:jc w:val="center"/>
        <w:outlineLvl w:val="3"/>
      </w:pPr>
      <w:r>
        <w:rPr>
          <w:b/>
          <w:sz w:val="24"/>
        </w:rPr>
        <w:t>采购代理服务费支付承诺书</w:t>
      </w:r>
    </w:p>
    <w:p>
      <w:pPr>
        <w:pStyle w:val="4"/>
        <w:ind w:firstLine="480"/>
      </w:pPr>
      <w:r>
        <w:t>致：惠州市公共资源交易中心惠城分中心</w:t>
      </w:r>
    </w:p>
    <w:p>
      <w:pPr>
        <w:pStyle w:val="4"/>
        <w:ind w:firstLine="480"/>
      </w:pPr>
      <w:r>
        <w:t xml:space="preserve"> 如果我方在贵采购代理机构组织的惠州市第二妇幼保健院HIS系统升级改造项目招标中获中标（采购项目编号：惠公易省云采惠城〔2025〕002号），我方保证在收取《中标通知书》时，按招标文件对代理服务费支付方式的约定，承担本项目代理服务费。</w:t>
      </w:r>
    </w:p>
    <w:p>
      <w:pPr>
        <w:pStyle w:val="4"/>
        <w:ind w:firstLine="480"/>
      </w:pPr>
      <w: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惠州市公共资源交易中心惠城分中心的要求办理支付手续。</w:t>
      </w:r>
    </w:p>
    <w:p>
      <w:pPr>
        <w:pStyle w:val="4"/>
        <w:ind w:firstLine="480"/>
      </w:pPr>
      <w:r>
        <w:t>特此承诺！</w:t>
      </w:r>
    </w:p>
    <w:p>
      <w:pPr>
        <w:pStyle w:val="4"/>
      </w:pPr>
      <w:r>
        <w:t>投标人法定名称（公章）；_____________________</w:t>
      </w:r>
    </w:p>
    <w:p>
      <w:pPr>
        <w:pStyle w:val="4"/>
      </w:pPr>
      <w:r>
        <w:t>投标人法定地址：_____________________</w:t>
      </w:r>
    </w:p>
    <w:p>
      <w:pPr>
        <w:pStyle w:val="4"/>
      </w:pPr>
      <w:r>
        <w:t>投标人授权代表（签字或盖章）：_____________________</w:t>
      </w:r>
    </w:p>
    <w:p>
      <w:pPr>
        <w:pStyle w:val="4"/>
      </w:pPr>
      <w:r>
        <w:t>电 话：_____________________</w:t>
      </w:r>
    </w:p>
    <w:p>
      <w:pPr>
        <w:pStyle w:val="4"/>
      </w:pPr>
      <w:r>
        <w:t>传 真：_____________________</w:t>
      </w:r>
    </w:p>
    <w:p>
      <w:pPr>
        <w:pStyle w:val="4"/>
      </w:pPr>
      <w:r>
        <w:t>承诺日期：_____________________</w:t>
      </w:r>
    </w:p>
    <w:p>
      <w:pPr>
        <w:pStyle w:val="4"/>
        <w:ind w:firstLine="480"/>
      </w:pPr>
      <w:r>
        <w:t xml:space="preserve">  </w:t>
      </w:r>
    </w:p>
    <w:p>
      <w:pPr>
        <w:pStyle w:val="4"/>
        <w:outlineLvl w:val="2"/>
      </w:pPr>
      <w:r>
        <w:rPr>
          <w:b/>
          <w:sz w:val="28"/>
        </w:rPr>
        <w:t>格式二十一：</w:t>
      </w:r>
    </w:p>
    <w:p>
      <w:pPr>
        <w:pStyle w:val="4"/>
        <w:ind w:firstLine="480"/>
      </w:pPr>
      <w:r>
        <w:t>（以下格式文件由供应商根据需要选用）</w:t>
      </w:r>
    </w:p>
    <w:p>
      <w:pPr>
        <w:pStyle w:val="4"/>
        <w:jc w:val="center"/>
        <w:outlineLvl w:val="3"/>
      </w:pPr>
      <w:r>
        <w:rPr>
          <w:b/>
          <w:sz w:val="24"/>
        </w:rPr>
        <w:t>需要采购人提供的附加条件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序号</w:t>
            </w:r>
          </w:p>
        </w:tc>
        <w:tc>
          <w:tcPr>
            <w:tcW w:w="4153" w:type="dxa"/>
          </w:tcPr>
          <w:p>
            <w:pPr>
              <w:pStyle w:val="4"/>
            </w:pPr>
            <w:r>
              <w:t>投标人需要采购人提供的附加条件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 xml:space="preserve"> 1</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 xml:space="preserve"> 2</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 xml:space="preserve"> 3</w:t>
            </w:r>
          </w:p>
        </w:tc>
        <w:tc>
          <w:tcPr>
            <w:tcW w:w="4153" w:type="dxa"/>
          </w:tcPr>
          <w:p/>
        </w:tc>
      </w:tr>
    </w:tbl>
    <w:p>
      <w:pPr>
        <w:pStyle w:val="4"/>
        <w:ind w:firstLine="480"/>
      </w:pPr>
      <w:r>
        <w:t>注：投标人完成本项目需要采购人配合或提供的条件必须在上表列出，否则将视为投标人同意按现有条件完成本项目。如上表所列附加条件含有采购人不能接受的，将被视为投标无效。</w:t>
      </w:r>
    </w:p>
    <w:p>
      <w:pPr>
        <w:pStyle w:val="4"/>
        <w:ind w:firstLine="480"/>
      </w:pPr>
      <w:r>
        <w:t xml:space="preserve">  </w:t>
      </w:r>
    </w:p>
    <w:p>
      <w:pPr>
        <w:pStyle w:val="4"/>
        <w:outlineLvl w:val="2"/>
      </w:pPr>
      <w:r>
        <w:rPr>
          <w:b/>
          <w:sz w:val="28"/>
        </w:rPr>
        <w:t>格式二十二：</w:t>
      </w:r>
    </w:p>
    <w:p>
      <w:pPr>
        <w:pStyle w:val="4"/>
        <w:ind w:firstLine="480"/>
      </w:pPr>
      <w:r>
        <w:t>（以下格式文件由供应商根据需要选用）</w:t>
      </w:r>
    </w:p>
    <w:p>
      <w:pPr>
        <w:pStyle w:val="4"/>
        <w:jc w:val="center"/>
        <w:outlineLvl w:val="3"/>
      </w:pPr>
      <w:r>
        <w:rPr>
          <w:b/>
          <w:sz w:val="24"/>
        </w:rPr>
        <w:t>询问函、质疑函、投诉书格式</w:t>
      </w:r>
    </w:p>
    <w:p>
      <w:pPr>
        <w:pStyle w:val="4"/>
        <w:ind w:firstLine="480"/>
      </w:pPr>
      <w:r>
        <w:t>说明：本部分格式为投标人提交询问函、质疑函、投诉函时使用，不属于投标文件格式的组成部分。</w:t>
      </w:r>
    </w:p>
    <w:p>
      <w:pPr>
        <w:pStyle w:val="4"/>
        <w:jc w:val="center"/>
        <w:outlineLvl w:val="3"/>
      </w:pPr>
      <w:r>
        <w:rPr>
          <w:b/>
          <w:sz w:val="24"/>
        </w:rPr>
        <w:t>询问函</w:t>
      </w:r>
    </w:p>
    <w:p>
      <w:pPr>
        <w:pStyle w:val="4"/>
        <w:ind w:firstLine="480"/>
      </w:pPr>
      <w:r>
        <w:t>惠州市公共资源交易中心惠城分中心</w:t>
      </w:r>
    </w:p>
    <w:p>
      <w:pPr>
        <w:pStyle w:val="4"/>
        <w:ind w:firstLine="480"/>
      </w:pPr>
      <w:r>
        <w:t>我单位已登记并准备参与“惠州市第二妇幼保健院HIS系统升级改造项目”项目（采购项目编号：惠公易省云采惠城〔2025〕002号 ）的投标活动，现有以下几个内容（或条款）存在疑问（或无法理解），特提出询问。</w:t>
      </w:r>
    </w:p>
    <w:p>
      <w:pPr>
        <w:pStyle w:val="4"/>
        <w:ind w:firstLine="480"/>
      </w:pPr>
      <w:r>
        <w:t>一、_____________________（事项一）</w:t>
      </w:r>
    </w:p>
    <w:p>
      <w:pPr>
        <w:pStyle w:val="4"/>
        <w:ind w:firstLine="480"/>
      </w:pPr>
      <w:r>
        <w:t>（1）____________________（问题或条款内容）</w:t>
      </w:r>
    </w:p>
    <w:p>
      <w:pPr>
        <w:pStyle w:val="4"/>
        <w:ind w:firstLine="480"/>
      </w:pPr>
      <w:r>
        <w:t>（2）____________________（说明疑问或无法理解原因）</w:t>
      </w:r>
    </w:p>
    <w:p>
      <w:pPr>
        <w:pStyle w:val="4"/>
        <w:ind w:firstLine="480"/>
      </w:pPr>
      <w:r>
        <w:t>（3）____________________（建议）</w:t>
      </w:r>
    </w:p>
    <w:p>
      <w:pPr>
        <w:pStyle w:val="4"/>
        <w:ind w:firstLine="480"/>
      </w:pPr>
      <w:r>
        <w:t>二、_____________________（事项二）</w:t>
      </w:r>
    </w:p>
    <w:p>
      <w:pPr>
        <w:pStyle w:val="4"/>
        <w:ind w:firstLine="480"/>
      </w:pPr>
      <w:r>
        <w:t>...</w:t>
      </w:r>
    </w:p>
    <w:p>
      <w:pPr>
        <w:pStyle w:val="4"/>
        <w:ind w:firstLine="480"/>
      </w:pPr>
      <w:r>
        <w:t>随附相关证明材料如下：（目录）</w:t>
      </w:r>
    </w:p>
    <w:p>
      <w:pPr>
        <w:pStyle w:val="4"/>
      </w:pPr>
      <w:r>
        <w:t>询问人（公章）：_____________________</w:t>
      </w:r>
    </w:p>
    <w:p>
      <w:pPr>
        <w:pStyle w:val="4"/>
      </w:pPr>
      <w:r>
        <w:t>法定代表人或授权代表（签字或盖章）：_____________________</w:t>
      </w:r>
    </w:p>
    <w:p>
      <w:pPr>
        <w:pStyle w:val="4"/>
      </w:pPr>
      <w:r>
        <w:t>地址/邮编：_____________________</w:t>
      </w:r>
    </w:p>
    <w:p>
      <w:pPr>
        <w:pStyle w:val="4"/>
      </w:pPr>
      <w:r>
        <w:t>电话/传真：_____________________</w:t>
      </w:r>
    </w:p>
    <w:p>
      <w:pPr>
        <w:pStyle w:val="4"/>
      </w:pPr>
      <w:r>
        <w:t xml:space="preserve"> 日期： 年 月 日</w:t>
      </w:r>
    </w:p>
    <w:p>
      <w:pPr>
        <w:pStyle w:val="4"/>
        <w:ind w:firstLine="480"/>
      </w:pPr>
      <w:r>
        <w:t xml:space="preserve">  </w:t>
      </w:r>
    </w:p>
    <w:p>
      <w:pPr>
        <w:pStyle w:val="4"/>
        <w:jc w:val="center"/>
        <w:outlineLvl w:val="3"/>
      </w:pPr>
      <w:r>
        <w:rPr>
          <w:b/>
          <w:sz w:val="24"/>
        </w:rPr>
        <w:t>质疑函</w:t>
      </w:r>
    </w:p>
    <w:p>
      <w:pPr>
        <w:pStyle w:val="4"/>
        <w:ind w:firstLine="480"/>
      </w:pPr>
      <w:r>
        <w:t>一、质疑供应商基本信息</w:t>
      </w:r>
    </w:p>
    <w:p>
      <w:pPr>
        <w:pStyle w:val="4"/>
        <w:ind w:firstLine="480"/>
      </w:pPr>
      <w:r>
        <w:t>质疑供应商：</w:t>
      </w:r>
    </w:p>
    <w:p>
      <w:pPr>
        <w:pStyle w:val="4"/>
        <w:ind w:firstLine="480"/>
      </w:pPr>
      <w:r>
        <w:t>地址：_____________________邮编：_____________________</w:t>
      </w:r>
    </w:p>
    <w:p>
      <w:pPr>
        <w:pStyle w:val="4"/>
        <w:ind w:firstLine="480"/>
      </w:pPr>
      <w:r>
        <w:t>联系：_____________________联系电话：_____________________</w:t>
      </w:r>
    </w:p>
    <w:p>
      <w:pPr>
        <w:pStyle w:val="4"/>
        <w:ind w:firstLine="480"/>
      </w:pPr>
      <w:r>
        <w:t>授权代表：_____________________</w:t>
      </w:r>
    </w:p>
    <w:p>
      <w:pPr>
        <w:pStyle w:val="4"/>
        <w:ind w:firstLine="480"/>
      </w:pPr>
      <w:r>
        <w:t>联系电话：_____________________</w:t>
      </w:r>
    </w:p>
    <w:p>
      <w:pPr>
        <w:pStyle w:val="4"/>
        <w:ind w:firstLine="480"/>
      </w:pPr>
      <w:r>
        <w:t>地址：_____________________邮编：_____________________</w:t>
      </w:r>
    </w:p>
    <w:p>
      <w:pPr>
        <w:pStyle w:val="4"/>
        <w:ind w:firstLine="480"/>
      </w:pPr>
      <w:r>
        <w:t>二、质疑项目基本情况</w:t>
      </w:r>
    </w:p>
    <w:p>
      <w:pPr>
        <w:pStyle w:val="4"/>
        <w:ind w:firstLine="480"/>
      </w:pPr>
      <w:r>
        <w:t>质疑项目的名称：_____________________</w:t>
      </w:r>
    </w:p>
    <w:p>
      <w:pPr>
        <w:pStyle w:val="4"/>
        <w:ind w:firstLine="480"/>
      </w:pPr>
      <w:r>
        <w:t>质疑项目的编号：_____________________ 包号：_____________________</w:t>
      </w:r>
    </w:p>
    <w:p>
      <w:pPr>
        <w:pStyle w:val="4"/>
        <w:ind w:firstLine="480"/>
      </w:pPr>
      <w:r>
        <w:t>采购人名称：_____________________</w:t>
      </w:r>
    </w:p>
    <w:p>
      <w:pPr>
        <w:pStyle w:val="4"/>
        <w:ind w:firstLine="480"/>
      </w:pPr>
      <w:r>
        <w:t>采购文件获取日期：_____________________</w:t>
      </w:r>
    </w:p>
    <w:p>
      <w:pPr>
        <w:pStyle w:val="4"/>
        <w:ind w:firstLine="480"/>
      </w:pPr>
      <w:r>
        <w:t>三、质疑事项具体内容</w:t>
      </w:r>
    </w:p>
    <w:p>
      <w:pPr>
        <w:pStyle w:val="4"/>
        <w:ind w:firstLine="480"/>
      </w:pPr>
      <w:r>
        <w:t>质疑事项1：_____________________</w:t>
      </w:r>
    </w:p>
    <w:p>
      <w:pPr>
        <w:pStyle w:val="4"/>
        <w:ind w:firstLine="480"/>
      </w:pPr>
      <w:r>
        <w:t>事实依据：_____________________</w:t>
      </w:r>
    </w:p>
    <w:p>
      <w:pPr>
        <w:pStyle w:val="4"/>
        <w:ind w:firstLine="480"/>
      </w:pPr>
      <w:r>
        <w:t>法律依据：_____________________</w:t>
      </w:r>
    </w:p>
    <w:p>
      <w:pPr>
        <w:pStyle w:val="4"/>
        <w:ind w:firstLine="480"/>
      </w:pPr>
      <w:r>
        <w:t>质疑事项2：_____________________</w:t>
      </w:r>
    </w:p>
    <w:p>
      <w:pPr>
        <w:pStyle w:val="4"/>
        <w:ind w:firstLine="480"/>
      </w:pPr>
      <w:r>
        <w:t>……</w:t>
      </w:r>
    </w:p>
    <w:p>
      <w:pPr>
        <w:pStyle w:val="4"/>
        <w:ind w:firstLine="480"/>
      </w:pPr>
      <w:r>
        <w:t>四、与质疑事项相关的质疑请求</w:t>
      </w:r>
    </w:p>
    <w:p>
      <w:pPr>
        <w:pStyle w:val="4"/>
        <w:ind w:firstLine="480"/>
      </w:pPr>
      <w:r>
        <w:t>请求：__________________________________________</w:t>
      </w:r>
    </w:p>
    <w:p>
      <w:pPr>
        <w:pStyle w:val="4"/>
      </w:pPr>
      <w:r>
        <w:t xml:space="preserve"> 签字(签章)：_____________________ 公章：_____________________</w:t>
      </w:r>
    </w:p>
    <w:p>
      <w:pPr>
        <w:pStyle w:val="4"/>
      </w:pPr>
      <w:r>
        <w:t xml:space="preserve"> 日期： 年 月 日</w:t>
      </w:r>
    </w:p>
    <w:p>
      <w:pPr>
        <w:pStyle w:val="4"/>
        <w:ind w:firstLine="480"/>
      </w:pPr>
      <w:r>
        <w:t>质疑函制作说明：</w:t>
      </w:r>
    </w:p>
    <w:p>
      <w:pPr>
        <w:pStyle w:val="4"/>
        <w:ind w:firstLine="480"/>
      </w:pPr>
      <w:r>
        <w:t>1.供应商提出质疑时，应提交质疑函和必要的证明材料。</w:t>
      </w:r>
    </w:p>
    <w:p>
      <w:pPr>
        <w:pStyle w:val="4"/>
        <w:ind w:firstLine="480"/>
      </w:pPr>
      <w: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4"/>
        <w:ind w:firstLine="480"/>
      </w:pPr>
      <w:r>
        <w:t>3.质疑供应商若对项目的某一分包进行质疑，质疑函中应列明具体采购包号。</w:t>
      </w:r>
    </w:p>
    <w:p>
      <w:pPr>
        <w:pStyle w:val="4"/>
        <w:ind w:firstLine="480"/>
      </w:pPr>
      <w:r>
        <w:t>4.质疑函的质疑事项应具体、明确，并有必要的事实依据和法律依据。</w:t>
      </w:r>
    </w:p>
    <w:p>
      <w:pPr>
        <w:pStyle w:val="4"/>
        <w:ind w:firstLine="480"/>
      </w:pPr>
      <w:r>
        <w:t>5.质疑函的质疑请求应与质疑事项相关。</w:t>
      </w:r>
    </w:p>
    <w:p>
      <w:pPr>
        <w:pStyle w:val="4"/>
        <w:ind w:firstLine="480"/>
      </w:pPr>
      <w:r>
        <w:t>6.质疑供应商为自然人的，质疑函应由本人签字；质疑供应商为法人或者其他组织的，质疑函应由法定代表人、主要负责人，或者其授权代表签字或者盖章，并加盖公章。</w:t>
      </w:r>
    </w:p>
    <w:p>
      <w:pPr>
        <w:pStyle w:val="4"/>
        <w:ind w:firstLine="480"/>
      </w:pPr>
      <w:r>
        <w:t xml:space="preserve">  </w:t>
      </w:r>
    </w:p>
    <w:p>
      <w:pPr>
        <w:pStyle w:val="4"/>
        <w:jc w:val="center"/>
        <w:outlineLvl w:val="3"/>
      </w:pPr>
      <w:r>
        <w:rPr>
          <w:b/>
          <w:sz w:val="24"/>
        </w:rPr>
        <w:t>投诉书</w:t>
      </w:r>
    </w:p>
    <w:p>
      <w:pPr>
        <w:pStyle w:val="4"/>
        <w:ind w:firstLine="480"/>
      </w:pPr>
      <w:r>
        <w:t xml:space="preserve"> 一、投诉相关主体基本情况</w:t>
      </w:r>
    </w:p>
    <w:p>
      <w:pPr>
        <w:pStyle w:val="4"/>
        <w:ind w:firstLine="480"/>
      </w:pPr>
      <w:r>
        <w:t xml:space="preserve"> 投诉人：____________________</w:t>
      </w:r>
    </w:p>
    <w:p>
      <w:pPr>
        <w:pStyle w:val="4"/>
        <w:ind w:firstLine="480"/>
      </w:pPr>
      <w:r>
        <w:t xml:space="preserve"> 地 址：____________________邮编：____________________</w:t>
      </w:r>
    </w:p>
    <w:p>
      <w:pPr>
        <w:pStyle w:val="4"/>
        <w:ind w:firstLine="480"/>
      </w:pPr>
      <w:r>
        <w:t xml:space="preserve"> 法定代表人/主要负责人：____________________</w:t>
      </w:r>
    </w:p>
    <w:p>
      <w:pPr>
        <w:pStyle w:val="4"/>
        <w:ind w:firstLine="480"/>
      </w:pPr>
      <w:r>
        <w:t xml:space="preserve"> 联系电话：____________________</w:t>
      </w:r>
    </w:p>
    <w:p>
      <w:pPr>
        <w:pStyle w:val="4"/>
        <w:ind w:firstLine="480"/>
      </w:pPr>
      <w:r>
        <w:t xml:space="preserve"> 授权代表：____________________联系电话：____________________</w:t>
      </w:r>
    </w:p>
    <w:p>
      <w:pPr>
        <w:pStyle w:val="4"/>
        <w:ind w:firstLine="480"/>
      </w:pPr>
      <w:r>
        <w:t xml:space="preserve"> 地 址：____________________邮编：____________________</w:t>
      </w:r>
    </w:p>
    <w:p>
      <w:pPr>
        <w:pStyle w:val="4"/>
        <w:ind w:firstLine="480"/>
      </w:pPr>
      <w:r>
        <w:t xml:space="preserve"> 被投诉人1：____________________</w:t>
      </w:r>
    </w:p>
    <w:p>
      <w:pPr>
        <w:pStyle w:val="4"/>
        <w:ind w:firstLine="480"/>
      </w:pPr>
      <w:r>
        <w:t xml:space="preserve"> 地址：____________________邮编：____________________</w:t>
      </w:r>
    </w:p>
    <w:p>
      <w:pPr>
        <w:pStyle w:val="4"/>
        <w:ind w:firstLine="480"/>
      </w:pPr>
      <w:r>
        <w:t xml:space="preserve"> 联系人：____________________联系电话：____________________</w:t>
      </w:r>
    </w:p>
    <w:p>
      <w:pPr>
        <w:pStyle w:val="4"/>
        <w:ind w:firstLine="480"/>
      </w:pPr>
      <w:r>
        <w:t xml:space="preserve"> 被投诉人2：____________________</w:t>
      </w:r>
    </w:p>
    <w:p>
      <w:pPr>
        <w:pStyle w:val="4"/>
        <w:ind w:firstLine="480"/>
      </w:pPr>
      <w:r>
        <w:t xml:space="preserve"> ……</w:t>
      </w:r>
    </w:p>
    <w:p>
      <w:pPr>
        <w:pStyle w:val="4"/>
        <w:ind w:firstLine="480"/>
      </w:pPr>
      <w:r>
        <w:t xml:space="preserve"> 相关供应商：_____________________</w:t>
      </w:r>
    </w:p>
    <w:p>
      <w:pPr>
        <w:pStyle w:val="4"/>
        <w:ind w:firstLine="480"/>
      </w:pPr>
      <w:r>
        <w:t xml:space="preserve"> 地址：____________________邮编：____________________</w:t>
      </w:r>
    </w:p>
    <w:p>
      <w:pPr>
        <w:pStyle w:val="4"/>
        <w:ind w:firstLine="480"/>
      </w:pPr>
      <w:r>
        <w:t xml:space="preserve"> 联系人：____________________联系电话：____________________</w:t>
      </w:r>
    </w:p>
    <w:p>
      <w:pPr>
        <w:pStyle w:val="4"/>
        <w:ind w:firstLine="480"/>
      </w:pPr>
      <w:r>
        <w:t xml:space="preserve"> 二、投诉项目基本情况</w:t>
      </w:r>
    </w:p>
    <w:p>
      <w:pPr>
        <w:pStyle w:val="4"/>
        <w:ind w:firstLine="480"/>
      </w:pPr>
      <w:r>
        <w:t xml:space="preserve"> 采购项目名称：____________________</w:t>
      </w:r>
    </w:p>
    <w:p>
      <w:pPr>
        <w:pStyle w:val="4"/>
        <w:ind w:firstLine="480"/>
      </w:pPr>
      <w:r>
        <w:t xml:space="preserve"> 采购项目编号： ____________________包号：____________________</w:t>
      </w:r>
    </w:p>
    <w:p>
      <w:pPr>
        <w:pStyle w:val="4"/>
        <w:ind w:firstLine="480"/>
      </w:pPr>
      <w:r>
        <w:t xml:space="preserve"> 采购人名称：____________________</w:t>
      </w:r>
    </w:p>
    <w:p>
      <w:pPr>
        <w:pStyle w:val="4"/>
        <w:ind w:firstLine="480"/>
      </w:pPr>
      <w:r>
        <w:t xml:space="preserve"> 代理机构名称：____________________</w:t>
      </w:r>
    </w:p>
    <w:p>
      <w:pPr>
        <w:pStyle w:val="4"/>
        <w:ind w:firstLine="480"/>
      </w:pPr>
      <w:r>
        <w:t xml:space="preserve"> 采购文件公告:</w:t>
      </w:r>
      <w:r>
        <w:rPr>
          <w:u w:val="single"/>
        </w:rPr>
        <w:t>是/否</w:t>
      </w:r>
      <w:r>
        <w:t xml:space="preserve"> 公告期限：_____________________</w:t>
      </w:r>
    </w:p>
    <w:p>
      <w:pPr>
        <w:pStyle w:val="4"/>
        <w:ind w:firstLine="480"/>
      </w:pPr>
      <w:r>
        <w:t xml:space="preserve"> 采购结果公告:</w:t>
      </w:r>
      <w:r>
        <w:rPr>
          <w:u w:val="single"/>
        </w:rPr>
        <w:t>是/否</w:t>
      </w:r>
      <w:r>
        <w:t xml:space="preserve"> 公告期限：_____________________</w:t>
      </w:r>
    </w:p>
    <w:p>
      <w:pPr>
        <w:pStyle w:val="4"/>
        <w:ind w:firstLine="480"/>
      </w:pPr>
      <w:r>
        <w:t xml:space="preserve"> 三、质疑基本情况</w:t>
      </w:r>
    </w:p>
    <w:p>
      <w:pPr>
        <w:pStyle w:val="4"/>
        <w:ind w:firstLine="480"/>
      </w:pPr>
      <w:r>
        <w:t xml:space="preserve"> 投诉人于 ____年____月____日,向提出质疑，质疑事项为：_____________________</w:t>
      </w:r>
    </w:p>
    <w:p>
      <w:pPr>
        <w:pStyle w:val="4"/>
        <w:ind w:firstLine="480"/>
      </w:pPr>
      <w:r>
        <w:rPr>
          <w:u w:val="single"/>
        </w:rPr>
        <w:t>采购人/代理机构</w:t>
      </w:r>
      <w:r>
        <w:t>于____年____月____日,就质疑事项作出了答复/没有在法定期限内作出答复。</w:t>
      </w:r>
    </w:p>
    <w:p>
      <w:pPr>
        <w:pStyle w:val="4"/>
        <w:ind w:firstLine="480"/>
      </w:pPr>
      <w:r>
        <w:t xml:space="preserve"> 四、投诉事项具体内容</w:t>
      </w:r>
    </w:p>
    <w:p>
      <w:pPr>
        <w:pStyle w:val="4"/>
        <w:ind w:firstLine="480"/>
      </w:pPr>
      <w:r>
        <w:t xml:space="preserve"> 投诉事项 1：_____________________</w:t>
      </w:r>
    </w:p>
    <w:p>
      <w:pPr>
        <w:pStyle w:val="4"/>
        <w:ind w:firstLine="480"/>
      </w:pPr>
      <w:r>
        <w:t xml:space="preserve"> 事实依据：_____________________</w:t>
      </w:r>
    </w:p>
    <w:p>
      <w:pPr>
        <w:pStyle w:val="4"/>
        <w:ind w:firstLine="480"/>
      </w:pPr>
      <w:r>
        <w:t xml:space="preserve"> 法律依据：_____________________</w:t>
      </w:r>
    </w:p>
    <w:p>
      <w:pPr>
        <w:pStyle w:val="4"/>
        <w:ind w:firstLine="480"/>
      </w:pPr>
      <w:r>
        <w:t xml:space="preserve"> 投诉事项2：_____________________</w:t>
      </w:r>
    </w:p>
    <w:p>
      <w:pPr>
        <w:pStyle w:val="4"/>
        <w:ind w:firstLine="480"/>
      </w:pPr>
      <w:r>
        <w:t xml:space="preserve"> ……</w:t>
      </w:r>
    </w:p>
    <w:p>
      <w:pPr>
        <w:pStyle w:val="4"/>
        <w:ind w:firstLine="480"/>
      </w:pPr>
      <w:r>
        <w:t xml:space="preserve"> 五、与投诉事项相关的投诉请求</w:t>
      </w:r>
    </w:p>
    <w:p>
      <w:pPr>
        <w:pStyle w:val="4"/>
        <w:ind w:firstLine="480"/>
      </w:pPr>
      <w:r>
        <w:t xml:space="preserve"> 请求：________________________</w:t>
      </w:r>
    </w:p>
    <w:p>
      <w:pPr>
        <w:pStyle w:val="4"/>
        <w:ind w:firstLine="480"/>
      </w:pPr>
      <w:r>
        <w:t xml:space="preserve"> 签字(签章)： ________公章________</w:t>
      </w:r>
    </w:p>
    <w:p>
      <w:pPr>
        <w:pStyle w:val="4"/>
      </w:pPr>
      <w:r>
        <w:t xml:space="preserve"> 日期：____年____月____日</w:t>
      </w:r>
    </w:p>
    <w:p>
      <w:pPr>
        <w:pStyle w:val="4"/>
        <w:ind w:firstLine="480"/>
      </w:pPr>
      <w:r>
        <w:t xml:space="preserve"> 投诉书制作说明：</w:t>
      </w:r>
    </w:p>
    <w:p>
      <w:pPr>
        <w:pStyle w:val="4"/>
        <w:ind w:firstLine="480"/>
      </w:pPr>
      <w:r>
        <w:t xml:space="preserve"> 1.投诉人提起投诉时，应当提交投诉书和必要的证明材料，并按照被投诉人和与投诉事项有关的供应商数量提供投诉书副本。</w:t>
      </w:r>
    </w:p>
    <w:p>
      <w:pPr>
        <w:pStyle w:val="4"/>
        <w:ind w:firstLine="480"/>
      </w:pPr>
      <w: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4"/>
        <w:ind w:firstLine="480"/>
      </w:pPr>
      <w:r>
        <w:t xml:space="preserve"> 3.投诉人若对项目的某一分包进行投诉，投诉书应列明具体分包号。</w:t>
      </w:r>
    </w:p>
    <w:p>
      <w:pPr>
        <w:pStyle w:val="4"/>
        <w:ind w:firstLine="480"/>
      </w:pPr>
      <w:r>
        <w:t xml:space="preserve"> 4.投诉书应简要列明质疑事项，质疑函、质疑答复等作为附件材料提供。</w:t>
      </w:r>
    </w:p>
    <w:p>
      <w:pPr>
        <w:pStyle w:val="4"/>
        <w:ind w:firstLine="480"/>
      </w:pPr>
      <w:r>
        <w:t xml:space="preserve"> 5.投诉书的投诉事项应具体、明确，并有必要的事实依据和法律依据。</w:t>
      </w:r>
    </w:p>
    <w:p>
      <w:pPr>
        <w:pStyle w:val="4"/>
        <w:ind w:firstLine="480"/>
      </w:pPr>
      <w:r>
        <w:t xml:space="preserve"> 6.投诉书的投诉请求应与投诉事项相关。</w:t>
      </w:r>
    </w:p>
    <w:p>
      <w:pPr>
        <w:pStyle w:val="4"/>
        <w:ind w:firstLine="480"/>
      </w:pPr>
      <w:r>
        <w:t xml:space="preserve"> 7.投诉人为自然人的，投诉书应当由本人签字；投诉人为法人或者其他组织的，投诉书应当由法定代表人、主要负责人，或者其授权代表签字或者盖章，并加盖公章。</w:t>
      </w:r>
    </w:p>
    <w:p>
      <w:pPr>
        <w:pStyle w:val="4"/>
        <w:ind w:firstLine="480"/>
      </w:pPr>
      <w:r>
        <w:t xml:space="preserve">  </w:t>
      </w:r>
    </w:p>
    <w:p>
      <w:pPr>
        <w:pStyle w:val="4"/>
        <w:outlineLvl w:val="2"/>
      </w:pPr>
      <w:r>
        <w:rPr>
          <w:b/>
          <w:sz w:val="28"/>
        </w:rPr>
        <w:t>格式二十三：</w:t>
      </w:r>
    </w:p>
    <w:p>
      <w:pPr>
        <w:pStyle w:val="4"/>
        <w:ind w:firstLine="480"/>
      </w:pPr>
      <w:r>
        <w:t>（以下格式文件由供应商根据需要选用）</w:t>
      </w:r>
    </w:p>
    <w:p>
      <w:pPr>
        <w:pStyle w:val="4"/>
        <w:ind w:firstLine="480"/>
      </w:pPr>
      <w:r>
        <w:t>项目实施方案、质量保证及售后服务承诺等内容和格式自拟。</w:t>
      </w:r>
    </w:p>
    <w:p>
      <w:pPr>
        <w:pStyle w:val="4"/>
        <w:ind w:firstLine="480"/>
      </w:pPr>
      <w:r>
        <w:t xml:space="preserve">  </w:t>
      </w:r>
    </w:p>
    <w:p>
      <w:pPr>
        <w:pStyle w:val="4"/>
        <w:outlineLvl w:val="2"/>
      </w:pPr>
      <w:r>
        <w:rPr>
          <w:b/>
          <w:sz w:val="28"/>
        </w:rPr>
        <w:t>格式二十四：</w:t>
      </w:r>
    </w:p>
    <w:p>
      <w:pPr>
        <w:pStyle w:val="4"/>
        <w:ind w:firstLine="480"/>
      </w:pPr>
      <w:r>
        <w:t>附件（以下格式文件由供应商根据需要选用）</w:t>
      </w:r>
    </w:p>
    <w:p>
      <w:pPr>
        <w:pStyle w:val="4"/>
        <w:jc w:val="center"/>
        <w:outlineLvl w:val="3"/>
      </w:pPr>
      <w:r>
        <w:rPr>
          <w:b/>
          <w:sz w:val="24"/>
        </w:rPr>
        <w:t>政府采购投标（响应）担保函</w:t>
      </w:r>
    </w:p>
    <w:p>
      <w:pPr>
        <w:pStyle w:val="4"/>
      </w:pPr>
      <w:r>
        <w:t>编号：【 】号</w:t>
      </w:r>
    </w:p>
    <w:p>
      <w:pPr>
        <w:pStyle w:val="4"/>
        <w:ind w:firstLine="480"/>
      </w:pPr>
      <w:r>
        <w:t>（采购人）：</w:t>
      </w:r>
    </w:p>
    <w:p>
      <w:pPr>
        <w:pStyle w:val="4"/>
        <w:ind w:firstLine="480"/>
      </w:pPr>
      <w: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4"/>
        <w:ind w:firstLine="480"/>
      </w:pPr>
      <w:r>
        <w:t>一、保险责任的情形及保证金额</w:t>
      </w:r>
    </w:p>
    <w:p>
      <w:pPr>
        <w:pStyle w:val="4"/>
        <w:ind w:firstLine="480"/>
      </w:pPr>
      <w:r>
        <w:t>（一）在投标（响应）人出现下列情形之一时，我方承担保险责任：</w:t>
      </w:r>
    </w:p>
    <w:p>
      <w:pPr>
        <w:pStyle w:val="4"/>
        <w:ind w:firstLine="480"/>
      </w:pPr>
      <w:r>
        <w:t>1.中标（成交）后投标（响应）人无正当理由不与采购人签订《政府采购合同》；</w:t>
      </w:r>
    </w:p>
    <w:p>
      <w:pPr>
        <w:pStyle w:val="4"/>
        <w:ind w:firstLine="480"/>
      </w:pPr>
      <w:r>
        <w:t>2.采购文件规定的投标（响应）人应当缴纳保证金的其他情形。</w:t>
      </w:r>
    </w:p>
    <w:p>
      <w:pPr>
        <w:pStyle w:val="4"/>
        <w:ind w:firstLine="480"/>
      </w:pPr>
      <w:r>
        <w:t>（二）我方承担保险责任的最高金额为人民币__________元（大写）即本项目的投标（响应）保证金金额。</w:t>
      </w:r>
    </w:p>
    <w:p>
      <w:pPr>
        <w:pStyle w:val="4"/>
        <w:ind w:firstLine="480"/>
      </w:pPr>
      <w:r>
        <w:t>二、保证的方式及保证期间</w:t>
      </w:r>
    </w:p>
    <w:p>
      <w:pPr>
        <w:pStyle w:val="4"/>
        <w:ind w:firstLine="480"/>
      </w:pPr>
      <w:r>
        <w:t>我方保证的方式为：连带责任保证。</w:t>
      </w:r>
    </w:p>
    <w:p>
      <w:pPr>
        <w:pStyle w:val="4"/>
        <w:ind w:firstLine="480"/>
      </w:pPr>
      <w:r>
        <w:t>我方的保证期间为：本保险凭证自__年__月__日起生效，有效期至开标日后的90天内。</w:t>
      </w:r>
    </w:p>
    <w:p>
      <w:pPr>
        <w:pStyle w:val="4"/>
        <w:ind w:firstLine="480"/>
      </w:pPr>
      <w:r>
        <w:t>三、承担保证责任的程序</w:t>
      </w:r>
    </w:p>
    <w:p>
      <w:pPr>
        <w:pStyle w:val="4"/>
        <w:ind w:firstLine="480"/>
      </w:pPr>
      <w: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4"/>
        <w:ind w:firstLine="480"/>
      </w:pPr>
      <w:r>
        <w:t>2.我方在收到索赔通知及相关证明材料后，在15个工作日内进行审查，符合应承担保证责任情形的，我方按照你方的要求代投标（响应）人向你方支付相应的索赔款项。</w:t>
      </w:r>
    </w:p>
    <w:p>
      <w:pPr>
        <w:pStyle w:val="4"/>
        <w:ind w:firstLine="480"/>
      </w:pPr>
      <w:r>
        <w:t>四、保证责任的终止</w:t>
      </w:r>
    </w:p>
    <w:p>
      <w:pPr>
        <w:pStyle w:val="4"/>
        <w:ind w:firstLine="480"/>
      </w:pPr>
      <w:r>
        <w:t>1.保证期间届满，你方未向我方书面主张保证责任的，自保证期间届满次日起，我方保证责任自动终止。</w:t>
      </w:r>
    </w:p>
    <w:p>
      <w:pPr>
        <w:pStyle w:val="4"/>
        <w:ind w:firstLine="480"/>
      </w:pPr>
      <w:r>
        <w:t>2.我方按照本保函向你方履行了保证责任后，自我方向你方支付款项（支付款项从我方账户划出）之日起，保证责任终止。</w:t>
      </w:r>
    </w:p>
    <w:p>
      <w:pPr>
        <w:pStyle w:val="4"/>
        <w:ind w:firstLine="480"/>
      </w:pPr>
      <w:r>
        <w:t>3.按照法律法规的规定或出现我方保证责任终止的其它情形的，我方在本保函项下的保证责任终止。</w:t>
      </w:r>
    </w:p>
    <w:p>
      <w:pPr>
        <w:pStyle w:val="4"/>
        <w:ind w:firstLine="480"/>
      </w:pPr>
      <w:r>
        <w:t>五、免责条款</w:t>
      </w:r>
    </w:p>
    <w:p>
      <w:pPr>
        <w:pStyle w:val="4"/>
        <w:ind w:firstLine="480"/>
      </w:pPr>
      <w:r>
        <w:t>1.依照法律规定或你方与投标（响应）人的另行约定，全部或者部分免除投标（响应）人投标（响应）保证金义务时，我方亦免除相应的保证责任。</w:t>
      </w:r>
    </w:p>
    <w:p>
      <w:pPr>
        <w:pStyle w:val="4"/>
        <w:ind w:firstLine="480"/>
      </w:pPr>
      <w:r>
        <w:t>2.因你方原因致使投标（响应）人发生本保函第一条第（一）款约定情形的，我方不承担保证责任。</w:t>
      </w:r>
    </w:p>
    <w:p>
      <w:pPr>
        <w:pStyle w:val="4"/>
        <w:ind w:firstLine="480"/>
      </w:pPr>
      <w:r>
        <w:t>3.因不可抗力造成投标（响应）人发生本保函第一条约定情形的，我方不承担保证责任。</w:t>
      </w:r>
    </w:p>
    <w:p>
      <w:pPr>
        <w:pStyle w:val="4"/>
        <w:ind w:firstLine="480"/>
      </w:pPr>
      <w:r>
        <w:t>4.你方或其他有权机关对采购文件进行任何澄清或修改，加重我方保证责任的，我方对加重部分不承担保证责任，但该澄清或修改经我方事先书面同意的除外。</w:t>
      </w:r>
    </w:p>
    <w:p>
      <w:pPr>
        <w:pStyle w:val="4"/>
        <w:ind w:firstLine="480"/>
      </w:pPr>
      <w:r>
        <w:t>六、争议的解决</w:t>
      </w:r>
    </w:p>
    <w:p>
      <w:pPr>
        <w:pStyle w:val="4"/>
        <w:ind w:firstLine="480"/>
      </w:pPr>
      <w:r>
        <w:t>因本保函发生的纠纷，由你我双方协商解决，协商不成的，通过诉讼程序解决，诉讼管辖地法院为 法院。</w:t>
      </w:r>
    </w:p>
    <w:p>
      <w:pPr>
        <w:pStyle w:val="4"/>
        <w:ind w:firstLine="480"/>
      </w:pPr>
      <w:r>
        <w:t>七、保函的生效</w:t>
      </w:r>
    </w:p>
    <w:p>
      <w:pPr>
        <w:pStyle w:val="4"/>
        <w:ind w:firstLine="480"/>
      </w:pPr>
      <w:r>
        <w:t>本保函自我方加盖公章之日起生效。</w:t>
      </w:r>
    </w:p>
    <w:p>
      <w:pPr>
        <w:pStyle w:val="4"/>
        <w:ind w:firstLine="480"/>
      </w:pPr>
      <w:r>
        <w:t>保证人：_______（公章）_______</w:t>
      </w:r>
    </w:p>
    <w:p>
      <w:pPr>
        <w:pStyle w:val="4"/>
      </w:pPr>
      <w:r>
        <w:t>联系人：____________________</w:t>
      </w:r>
    </w:p>
    <w:p>
      <w:pPr>
        <w:pStyle w:val="4"/>
      </w:pPr>
      <w:r>
        <w:t>联系电话：____________________</w:t>
      </w:r>
    </w:p>
    <w:p>
      <w:pPr>
        <w:pStyle w:val="4"/>
      </w:pPr>
      <w:r>
        <w:t>___年___月___日</w:t>
      </w:r>
    </w:p>
    <w:p>
      <w:pPr>
        <w:pStyle w:val="4"/>
        <w:ind w:firstLine="480"/>
      </w:pPr>
      <w:r>
        <w:t xml:space="preserve">  </w:t>
      </w:r>
    </w:p>
    <w:p>
      <w:pPr>
        <w:pStyle w:val="4"/>
        <w:outlineLvl w:val="2"/>
      </w:pPr>
      <w:r>
        <w:rPr>
          <w:b/>
          <w:sz w:val="28"/>
        </w:rPr>
        <w:t>格式二十五：</w:t>
      </w:r>
    </w:p>
    <w:p>
      <w:pPr>
        <w:pStyle w:val="4"/>
        <w:jc w:val="center"/>
        <w:outlineLvl w:val="3"/>
      </w:pPr>
      <w:r>
        <w:rPr>
          <w:b/>
          <w:sz w:val="24"/>
        </w:rPr>
        <w:t>政府采购履约担保函</w:t>
      </w:r>
    </w:p>
    <w:p>
      <w:pPr>
        <w:pStyle w:val="4"/>
      </w:pPr>
      <w:r>
        <w:t>编号：</w:t>
      </w:r>
    </w:p>
    <w:p>
      <w:pPr>
        <w:pStyle w:val="4"/>
        <w:ind w:firstLine="480"/>
      </w:pPr>
      <w:r>
        <w:t>（采购人）：</w:t>
      </w:r>
    </w:p>
    <w:p>
      <w:pPr>
        <w:pStyle w:val="4"/>
        <w:ind w:firstLine="480"/>
      </w:pPr>
      <w: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4"/>
        <w:ind w:firstLine="480"/>
      </w:pPr>
      <w:r>
        <w:t>一、保证金额</w:t>
      </w:r>
    </w:p>
    <w:p>
      <w:pPr>
        <w:pStyle w:val="4"/>
        <w:ind w:firstLine="480"/>
      </w:pPr>
      <w:r>
        <w:t>我方的保证范围是主合同约定的合同价款总额的___%，数额为__________（大写），币种为</w:t>
      </w:r>
      <w:r>
        <w:rPr>
          <w:u w:val="single"/>
        </w:rPr>
        <w:t>人民币</w:t>
      </w:r>
      <w:r>
        <w:t>（即主合同履约保证金金额）。</w:t>
      </w:r>
    </w:p>
    <w:p>
      <w:pPr>
        <w:pStyle w:val="4"/>
        <w:ind w:firstLine="480"/>
      </w:pPr>
      <w:r>
        <w:t>二、我方保证的方式为：连带责任保证。</w:t>
      </w:r>
    </w:p>
    <w:p>
      <w:pPr>
        <w:pStyle w:val="4"/>
        <w:ind w:firstLine="480"/>
      </w:pPr>
      <w:r>
        <w:t>三、我方保证的期间为：本保函自开立之日起生效，至 年 月 日止。</w:t>
      </w:r>
    </w:p>
    <w:p>
      <w:pPr>
        <w:pStyle w:val="4"/>
        <w:ind w:firstLine="480"/>
      </w:pPr>
      <w:r>
        <w:t>四、在本保函的有效期内，如被保证人违反上述合同或协议约定的义务，我方将在收到你方提交的本保函文件及符合下列全部条件的索赔通知后</w:t>
      </w:r>
      <w:r>
        <w:rPr>
          <w:u w:val="single"/>
        </w:rPr>
        <w:t xml:space="preserve"> 30 </w:t>
      </w:r>
      <w:r>
        <w:t>个工作日内以上述保证金额为限支付你方索赔金额:</w:t>
      </w:r>
    </w:p>
    <w:p>
      <w:pPr>
        <w:pStyle w:val="4"/>
        <w:ind w:firstLine="480"/>
      </w:pPr>
      <w:r>
        <w:t>(一)索赔通知文件必须以书面形式提出，列明索赔金额，并由你方法定代表人(负责人)或授权代理人签字并加盖公章;</w:t>
      </w:r>
    </w:p>
    <w:p>
      <w:pPr>
        <w:pStyle w:val="4"/>
        <w:ind w:firstLine="480"/>
      </w:pPr>
      <w:r>
        <w:t>(二)索赔通知文件必须同时附有:</w:t>
      </w:r>
    </w:p>
    <w:p>
      <w:pPr>
        <w:pStyle w:val="4"/>
        <w:ind w:firstLine="480"/>
      </w:pPr>
      <w:r>
        <w:t>1.一项书面声明，声明索赔款项并未由被保证人或其代理人直接或间接地支付给你方;</w:t>
      </w:r>
    </w:p>
    <w:p>
      <w:pPr>
        <w:pStyle w:val="4"/>
        <w:ind w:firstLine="480"/>
      </w:pPr>
      <w:r>
        <w:t>2.证明被保证人违反上述合同或协议约定的义务以及有责任支付你方索赔金额的证据。</w:t>
      </w:r>
    </w:p>
    <w:p>
      <w:pPr>
        <w:pStyle w:val="4"/>
        <w:ind w:firstLine="480"/>
      </w:pPr>
      <w:r>
        <w:t>(三)索赔通知文件必须在本保函有效期内到达以下地址：</w:t>
      </w:r>
    </w:p>
    <w:p>
      <w:pPr>
        <w:pStyle w:val="4"/>
        <w:ind w:firstLine="480"/>
      </w:pPr>
      <w:r>
        <w:t>__________________________________________________。</w:t>
      </w:r>
    </w:p>
    <w:p>
      <w:pPr>
        <w:pStyle w:val="4"/>
        <w:ind w:firstLine="480"/>
      </w:pPr>
      <w:r>
        <w:t>五、本保函保证金额将随被保证人逐步履行保函项下合同约定或法定的义务以及我方按你方索赔通知文件要求分次支付而相应递减。</w:t>
      </w:r>
    </w:p>
    <w:p>
      <w:pPr>
        <w:pStyle w:val="4"/>
        <w:ind w:firstLine="480"/>
      </w:pPr>
      <w:r>
        <w:t>六、本保函项下的权利不得转让，不得设定担保。受益人未经我方书面同意转让本保函或其项下任何权利，我方在本保函项下的义务与责任全部消灭。</w:t>
      </w:r>
    </w:p>
    <w:p>
      <w:pPr>
        <w:pStyle w:val="4"/>
        <w:ind w:firstLine="480"/>
      </w:pPr>
      <w:r>
        <w:t>七、本保函项下的合同或基础交易不成立、不生效、无效、被撤销、被解除，本保函无效;被保证人基于保函项下的合同或基础交易或其他原因的抗辩，我方均有权主张。</w:t>
      </w:r>
    </w:p>
    <w:p>
      <w:pPr>
        <w:pStyle w:val="4"/>
        <w:ind w:firstLine="480"/>
      </w:pPr>
      <w:r>
        <w:t>八、因本保函发生争议协商解决不成，按以下第</w:t>
      </w:r>
      <w:r>
        <w:rPr>
          <w:u w:val="single"/>
        </w:rPr>
        <w:t xml:space="preserve"> (一)</w:t>
      </w:r>
      <w:r>
        <w:t>种方式解决:</w:t>
      </w:r>
    </w:p>
    <w:p>
      <w:pPr>
        <w:pStyle w:val="4"/>
        <w:ind w:firstLine="480"/>
      </w:pPr>
      <w:r>
        <w:t>(一)向我方所在地的人民法院起诉。</w:t>
      </w:r>
    </w:p>
    <w:p>
      <w:pPr>
        <w:pStyle w:val="4"/>
        <w:ind w:firstLine="480"/>
      </w:pPr>
      <w:r>
        <w:t>(二)提交</w:t>
      </w:r>
      <w:r>
        <w:rPr>
          <w:u w:val="single"/>
        </w:rPr>
        <w:t xml:space="preserve"> 此栏空白 </w:t>
      </w:r>
      <w:r>
        <w:t>仲裁委员会(仲裁地点为此栏空白)按照申请仲裁时该会现行有效的仲裁规则进行仲裁。仲裁裁决是终局的，对双方均有约束力。</w:t>
      </w:r>
    </w:p>
    <w:p>
      <w:pPr>
        <w:pStyle w:val="4"/>
        <w:ind w:firstLine="480"/>
      </w:pPr>
      <w:r>
        <w:t>九、本保函适用中华人民共和国法律。</w:t>
      </w:r>
    </w:p>
    <w:p>
      <w:pPr>
        <w:pStyle w:val="4"/>
        <w:ind w:firstLine="480"/>
      </w:pPr>
      <w:r>
        <w:t>十、其他条款:</w:t>
      </w:r>
    </w:p>
    <w:p>
      <w:pPr>
        <w:pStyle w:val="4"/>
        <w:ind w:firstLine="480"/>
      </w:pPr>
      <w:r>
        <w:t>1.本保函有效期届满或提前终止，本保函自动失效，我方在本保函项下的义务与责任自动全部消灭，此后提出的任何索赔均为无效索赔，我方无义务作出任何赔付。</w:t>
      </w:r>
    </w:p>
    <w:p>
      <w:pPr>
        <w:pStyle w:val="4"/>
        <w:ind w:firstLine="480"/>
      </w:pPr>
      <w:r>
        <w:t>2.所有索赔通知必须在我方工作时间内到达本保函规定的地址。</w:t>
      </w:r>
    </w:p>
    <w:p>
      <w:pPr>
        <w:pStyle w:val="4"/>
        <w:ind w:firstLine="480"/>
      </w:pPr>
      <w:r>
        <w:t>十一、本保函自我方盖章之日起生效。</w:t>
      </w:r>
    </w:p>
    <w:p>
      <w:pPr>
        <w:pStyle w:val="4"/>
      </w:pPr>
      <w:r>
        <w:t>保证人：___________(盖章)</w:t>
      </w:r>
    </w:p>
    <w:p>
      <w:pPr>
        <w:pStyle w:val="4"/>
      </w:pPr>
      <w:r>
        <w:t>联系地址：_______________</w:t>
      </w:r>
    </w:p>
    <w:p>
      <w:pPr>
        <w:pStyle w:val="4"/>
      </w:pPr>
      <w:r>
        <w:t>联系电话：_______________</w:t>
      </w:r>
    </w:p>
    <w:p>
      <w:pPr>
        <w:pStyle w:val="4"/>
      </w:pPr>
      <w:r>
        <w:t>开立日期：___年___月___日</w:t>
      </w:r>
    </w:p>
    <w:p>
      <w:pPr>
        <w:pStyle w:val="4"/>
        <w:jc w:val="center"/>
        <w:outlineLvl w:val="3"/>
      </w:pPr>
      <w:r>
        <w:rPr>
          <w:b/>
          <w:sz w:val="24"/>
        </w:rPr>
        <w:t>采购合同履约保险凭证</w:t>
      </w:r>
    </w:p>
    <w:p>
      <w:pPr>
        <w:pStyle w:val="4"/>
      </w:pPr>
      <w:r>
        <w:t>致被保险人__________：</w:t>
      </w:r>
    </w:p>
    <w:p>
      <w:pPr>
        <w:pStyle w:val="4"/>
        <w:ind w:firstLine="480"/>
      </w:pPr>
      <w: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4"/>
        <w:ind w:firstLine="480"/>
      </w:pPr>
      <w:r>
        <w:t>一、我公司对上述采购项目出具的《采购合同履约保证保险》保单号：</w:t>
      </w:r>
    </w:p>
    <w:p>
      <w:pPr>
        <w:pStyle w:val="4"/>
        <w:ind w:firstLine="480"/>
      </w:pPr>
      <w:r>
        <w:t>二、上述保单项下我公司的保险金额（最高限额）：人民币 （￥： 元）</w:t>
      </w:r>
    </w:p>
    <w:p>
      <w:pPr>
        <w:pStyle w:val="4"/>
        <w:ind w:firstLine="480"/>
      </w:pPr>
      <w:r>
        <w:t>上述全部保险单的保险金额随投保人逐步履行采购合同约定的义务或我公司的赔付而递减。</w:t>
      </w:r>
    </w:p>
    <w:p>
      <w:pPr>
        <w:pStyle w:val="4"/>
        <w:ind w:firstLine="480"/>
      </w:pPr>
      <w:r>
        <w:t>三、本保险的保险期间自____年___月___日___时起至___年___月___日___时止，共计___天。</w:t>
      </w:r>
    </w:p>
    <w:p>
      <w:pPr>
        <w:pStyle w:val="4"/>
        <w:ind w:firstLine="480"/>
      </w:pPr>
      <w: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t>个工作日内以上述保险金额为限，支付你方索赔金额。</w:t>
      </w:r>
    </w:p>
    <w:p>
      <w:pPr>
        <w:pStyle w:val="4"/>
        <w:ind w:firstLine="480"/>
      </w:pPr>
      <w:r>
        <w:t>（一）投保人未按照采购合同约定的时间、地点交付采购标的；</w:t>
      </w:r>
    </w:p>
    <w:p>
      <w:pPr>
        <w:pStyle w:val="4"/>
        <w:ind w:firstLine="480"/>
      </w:pPr>
      <w:r>
        <w:t>（二）投保人供应采购标的的规格、型号、数量、质量等不符合《采购合同》的约定。</w:t>
      </w:r>
    </w:p>
    <w:p>
      <w:pPr>
        <w:pStyle w:val="4"/>
        <w:ind w:firstLine="480"/>
      </w:pPr>
      <w:r>
        <w:t>五、索赔文件</w:t>
      </w:r>
    </w:p>
    <w:p>
      <w:pPr>
        <w:pStyle w:val="4"/>
        <w:ind w:firstLine="480"/>
      </w:pPr>
      <w:r>
        <w:t>（一）经被保险人有权人签字、加盖被保险人公章的书面索赔声明正本，索赔声明须注明本保险凭证对应的保单号并申明如下事实：</w:t>
      </w:r>
    </w:p>
    <w:p>
      <w:pPr>
        <w:pStyle w:val="4"/>
        <w:ind w:firstLine="480"/>
      </w:pPr>
      <w:r>
        <w:t>（1）投保人未履行采购合同相关义务；</w:t>
      </w:r>
    </w:p>
    <w:p>
      <w:pPr>
        <w:pStyle w:val="4"/>
        <w:ind w:firstLine="480"/>
      </w:pPr>
      <w:r>
        <w:t>（2）投保人的违约事实。</w:t>
      </w:r>
    </w:p>
    <w:p>
      <w:pPr>
        <w:pStyle w:val="4"/>
        <w:ind w:firstLine="480"/>
      </w:pPr>
      <w:r>
        <w:t>（二）保险单正本；</w:t>
      </w:r>
    </w:p>
    <w:p>
      <w:pPr>
        <w:pStyle w:val="4"/>
        <w:ind w:firstLine="480"/>
      </w:pPr>
      <w:r>
        <w:t>（三）《采购合同》副本及与采购项目进展、质量、缺陷有关的证明文件（包括《中标通知书》、投标书及其附录、会议纪要、其他合同文件等）；</w:t>
      </w:r>
    </w:p>
    <w:p>
      <w:pPr>
        <w:pStyle w:val="4"/>
        <w:ind w:firstLine="480"/>
      </w:pPr>
      <w:r>
        <w:t>（四）保险人要求投保人、被保险人所能提供的与确认保险事故的性质、原因、损失程度等有关的其他证明和资料；</w:t>
      </w:r>
    </w:p>
    <w:p>
      <w:pPr>
        <w:pStyle w:val="4"/>
        <w:ind w:firstLine="480"/>
      </w:pPr>
      <w:r>
        <w:t>（五）仲裁机构出具的裁决书或法院出具的裁定书、判决书等生效法律文书（适用于仲裁或诉讼确认损失的方式）；</w:t>
      </w:r>
    </w:p>
    <w:p>
      <w:pPr>
        <w:pStyle w:val="4"/>
        <w:ind w:firstLine="480"/>
      </w:pPr>
      <w:r>
        <w:t>六、未经保险人书面同意，本保险凭证与保险合同不得转让、质押，否则保险人在本保险凭证与保险合同项下的保险责任自动解除。</w:t>
      </w:r>
    </w:p>
    <w:p>
      <w:pPr>
        <w:pStyle w:val="4"/>
        <w:ind w:firstLine="480"/>
      </w:pPr>
      <w:r>
        <w:t>七、本保证保险发生争议协商解决不成，向保险人所在地有管辖权的人民法院提起诉讼。</w:t>
      </w:r>
    </w:p>
    <w:p>
      <w:pPr>
        <w:pStyle w:val="4"/>
        <w:ind w:firstLine="480"/>
      </w:pPr>
      <w:r>
        <w:t>八、本保证保险适用的保险条款为《_______________________》。</w:t>
      </w:r>
    </w:p>
    <w:p>
      <w:pPr>
        <w:pStyle w:val="4"/>
        <w:ind w:firstLine="480"/>
      </w:pPr>
      <w:r>
        <w:t>九、保险责任免除及其他本保险凭证未载明事宜以保险合同约定为准。</w:t>
      </w:r>
    </w:p>
    <w:p>
      <w:pPr>
        <w:pStyle w:val="4"/>
        <w:ind w:firstLine="480"/>
      </w:pPr>
      <w:r>
        <w:t>十、本保险凭证自保险人加盖保单专用章起生效。</w:t>
      </w:r>
    </w:p>
    <w:p>
      <w:pPr>
        <w:pStyle w:val="4"/>
      </w:pPr>
      <w:r>
        <w:t>保证人：__________(盖章)</w:t>
      </w:r>
    </w:p>
    <w:p>
      <w:pPr>
        <w:pStyle w:val="4"/>
      </w:pPr>
      <w:r>
        <w:t>地址：__________________</w:t>
      </w:r>
    </w:p>
    <w:p>
      <w:pPr>
        <w:pStyle w:val="4"/>
      </w:pPr>
      <w:r>
        <w:t>电话：__________________</w:t>
      </w:r>
    </w:p>
    <w:p>
      <w:pPr>
        <w:pStyle w:val="4"/>
      </w:pPr>
      <w:r>
        <w:t>开立日期：____年__月__日</w:t>
      </w:r>
    </w:p>
    <w:p>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AC47BFC"/>
    <w:rsid w:val="42475568"/>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黄惠盈</cp:lastModifiedBy>
  <dcterms:modified xsi:type="dcterms:W3CDTF">2025-04-22T02:15:26Z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6F5766924BED4CFDB6077F23C2253B81</vt:lpwstr>
  </property>
</Properties>
</file>