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eastAsia="zh-CN"/>
              </w:rPr>
              <w:t>八十九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6.1285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6.0915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6.1285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6.0915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6.0110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5.9740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已安排使用国家2023年度节余计划指标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6.1285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highlight w:val="none"/>
                <w:lang w:val="en-US" w:eastAsia="zh-CN"/>
              </w:rPr>
              <w:t>4400002024</w:t>
            </w:r>
            <w:r>
              <w:rPr>
                <w:rFonts w:hint="eastAsia" w:ascii="Times New Roman" w:hAnsi="Times New Roman" w:eastAsia="仿宋_GB2312"/>
                <w:highlight w:val="none"/>
                <w:lang w:val="en-US" w:eastAsia="zh-CN"/>
              </w:rPr>
              <w:t>10266741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5C0D8562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YzJlYzZlYjM3NWUzMTc3ZDdmM2MxMDIyMTg1Mm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0E5702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470</Characters>
  <Lines>4</Lines>
  <Paragraphs>1</Paragraphs>
  <TotalTime>0</TotalTime>
  <ScaleCrop>false</ScaleCrop>
  <LinksUpToDate>false</LinksUpToDate>
  <CharactersWithSpaces>519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许富巍</cp:lastModifiedBy>
  <cp:lastPrinted>2023-12-12T07:14:00Z</cp:lastPrinted>
  <dcterms:modified xsi:type="dcterms:W3CDTF">2024-07-16T03:12:53Z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C4A2E4D9633B4A7B97199EFAED9C806D_13</vt:lpwstr>
  </property>
</Properties>
</file>