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firstLine="308"/>
        <w:jc w:val="right"/>
        <w:textAlignment w:val="auto"/>
        <w:outlineLvl w:val="9"/>
        <w:rPr>
          <w:rFonts w:hint="default" w:ascii="Times New Roman" w:hAnsi="Times New Roman" w:eastAsia="仿宋_GB2312"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firstLine="308"/>
        <w:jc w:val="right"/>
        <w:textAlignment w:val="auto"/>
        <w:outlineLvl w:val="9"/>
        <w:rPr>
          <w:rFonts w:hint="default" w:ascii="Times New Roman" w:hAnsi="Times New Roman" w:eastAsia="仿宋_GB2312"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firstLine="308"/>
        <w:jc w:val="right"/>
        <w:textAlignment w:val="auto"/>
        <w:outlineLvl w:val="9"/>
        <w:rPr>
          <w:rFonts w:hint="default" w:ascii="Times New Roman" w:hAnsi="Times New Roman" w:eastAsia="仿宋_GB2312"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firstLine="308"/>
        <w:jc w:val="right"/>
        <w:textAlignment w:val="auto"/>
        <w:outlineLvl w:val="9"/>
        <w:rPr>
          <w:rFonts w:hint="default" w:ascii="Times New Roman" w:hAnsi="Times New Roman" w:eastAsia="仿宋_GB2312"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firstLine="308"/>
        <w:jc w:val="right"/>
        <w:textAlignment w:val="auto"/>
        <w:outlineLvl w:val="9"/>
        <w:rPr>
          <w:rFonts w:hint="default" w:ascii="Times New Roman" w:hAnsi="Times New Roman" w:eastAsia="仿宋_GB2312" w:cs="Times New Roman"/>
          <w:color w:val="auto"/>
          <w:highlight w:val="none"/>
        </w:rPr>
      </w:pPr>
      <w:bookmarkStart w:id="0" w:name="_GoBack"/>
      <w:r>
        <w:rPr>
          <w:rFonts w:hint="default" w:ascii="Times New Roman" w:hAnsi="Times New Roman" w:eastAsia="仿宋_GB2312" w:cs="Times New Roman"/>
          <w:color w:val="auto"/>
          <w:highlight w:val="none"/>
        </w:rPr>
        <w:t>惠市环建〔</w:t>
      </w:r>
      <w:r>
        <w:rPr>
          <w:rFonts w:hint="default" w:ascii="Times New Roman" w:hAnsi="Times New Roman" w:eastAsia="仿宋_GB2312" w:cs="Times New Roman"/>
          <w:color w:val="auto"/>
          <w:highlight w:val="none"/>
          <w:lang w:val="en-US" w:eastAsia="zh-CN"/>
        </w:rPr>
        <w:t>202</w:t>
      </w:r>
      <w:r>
        <w:rPr>
          <w:rFonts w:hint="eastAsia" w:cs="Times New Roman"/>
          <w:color w:val="auto"/>
          <w:highlight w:val="none"/>
          <w:lang w:val="en-US" w:eastAsia="zh-CN"/>
        </w:rPr>
        <w:t>3</w:t>
      </w:r>
      <w:r>
        <w:rPr>
          <w:rFonts w:hint="default" w:ascii="Times New Roman" w:hAnsi="Times New Roman" w:eastAsia="仿宋_GB2312" w:cs="Times New Roman"/>
          <w:color w:val="auto"/>
          <w:highlight w:val="none"/>
        </w:rPr>
        <w:t>〕</w:t>
      </w:r>
      <w:r>
        <w:rPr>
          <w:rFonts w:hint="eastAsia" w:cs="Times New Roman"/>
          <w:color w:val="auto"/>
          <w:highlight w:val="none"/>
          <w:lang w:val="en-US" w:eastAsia="zh-CN"/>
        </w:rPr>
        <w:t>92</w:t>
      </w:r>
      <w:r>
        <w:rPr>
          <w:rFonts w:hint="default" w:ascii="Times New Roman" w:hAnsi="Times New Roman" w:eastAsia="仿宋_GB2312" w:cs="Times New Roman"/>
          <w:color w:val="auto"/>
          <w:highlight w:val="none"/>
        </w:rPr>
        <w:t>号</w:t>
      </w:r>
      <w:bookmarkEnd w:id="0"/>
    </w:p>
    <w:p>
      <w:pPr>
        <w:pStyle w:val="62"/>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仿宋_GB2312" w:cs="Times New Roman"/>
          <w:color w:val="auto"/>
        </w:rPr>
      </w:pPr>
    </w:p>
    <w:p>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left="0" w:leftChars="0" w:right="-113" w:rightChars="-37" w:firstLine="0" w:firstLineChars="0"/>
        <w:jc w:val="center"/>
        <w:textAlignment w:val="auto"/>
        <w:outlineLvl w:val="9"/>
        <w:rPr>
          <w:rFonts w:hint="default" w:ascii="Times New Roman" w:hAnsi="Times New Roman" w:eastAsia="方正小标宋简体" w:cs="Times New Roman"/>
          <w:b w:val="0"/>
          <w:bCs/>
          <w:color w:val="auto"/>
          <w:sz w:val="44"/>
          <w:szCs w:val="44"/>
          <w:highlight w:val="none"/>
          <w:lang w:val="en-US" w:eastAsia="zh-CN"/>
        </w:rPr>
      </w:pPr>
      <w:r>
        <w:rPr>
          <w:rFonts w:hint="default" w:ascii="Times New Roman" w:hAnsi="Times New Roman" w:eastAsia="方正小标宋简体" w:cs="Times New Roman"/>
          <w:b w:val="0"/>
          <w:bCs/>
          <w:color w:val="auto"/>
          <w:sz w:val="44"/>
          <w:szCs w:val="44"/>
          <w:highlight w:val="none"/>
        </w:rPr>
        <w:t>关</w:t>
      </w:r>
      <w:r>
        <w:rPr>
          <w:rFonts w:hint="default" w:ascii="Times New Roman" w:hAnsi="Times New Roman" w:eastAsia="方正小标宋简体" w:cs="Times New Roman"/>
          <w:b w:val="0"/>
          <w:bCs/>
          <w:color w:val="auto"/>
          <w:sz w:val="44"/>
          <w:szCs w:val="44"/>
          <w:highlight w:val="none"/>
          <w:lang w:val="en-US" w:eastAsia="zh-CN"/>
        </w:rPr>
        <w:t>于</w:t>
      </w:r>
      <w:r>
        <w:rPr>
          <w:rFonts w:hint="eastAsia" w:ascii="Times New Roman" w:hAnsi="Times New Roman" w:eastAsia="方正小标宋简体" w:cs="Times New Roman"/>
          <w:b w:val="0"/>
          <w:bCs/>
          <w:color w:val="auto"/>
          <w:sz w:val="44"/>
          <w:szCs w:val="44"/>
          <w:highlight w:val="none"/>
          <w:lang w:val="en-US" w:eastAsia="zh-CN"/>
        </w:rPr>
        <w:t>大亚湾石化区供气管道项目</w:t>
      </w:r>
      <w:r>
        <w:rPr>
          <w:rFonts w:hint="default" w:ascii="Times New Roman" w:hAnsi="Times New Roman" w:eastAsia="方正小标宋简体" w:cs="Times New Roman"/>
          <w:b w:val="0"/>
          <w:bCs/>
          <w:color w:val="auto"/>
          <w:sz w:val="44"/>
          <w:szCs w:val="44"/>
          <w:highlight w:val="none"/>
          <w:lang w:val="en-US" w:eastAsia="zh-CN"/>
        </w:rPr>
        <w:t>环境影响</w:t>
      </w:r>
    </w:p>
    <w:p>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left="0" w:leftChars="0" w:right="-113" w:rightChars="-37" w:firstLine="0" w:firstLineChars="0"/>
        <w:jc w:val="center"/>
        <w:textAlignment w:val="auto"/>
        <w:outlineLvl w:val="9"/>
        <w:rPr>
          <w:rFonts w:hint="default" w:ascii="Times New Roman" w:hAnsi="Times New Roman" w:eastAsia="方正小标宋简体" w:cs="Times New Roman"/>
          <w:b w:val="0"/>
          <w:bCs/>
          <w:color w:val="auto"/>
          <w:sz w:val="44"/>
          <w:szCs w:val="44"/>
          <w:highlight w:val="none"/>
          <w:lang w:val="en-US" w:eastAsia="zh-CN"/>
        </w:rPr>
      </w:pPr>
      <w:r>
        <w:rPr>
          <w:rFonts w:hint="default" w:ascii="Times New Roman" w:hAnsi="Times New Roman" w:eastAsia="方正小标宋简体" w:cs="Times New Roman"/>
          <w:b w:val="0"/>
          <w:bCs/>
          <w:color w:val="auto"/>
          <w:sz w:val="44"/>
          <w:szCs w:val="44"/>
          <w:highlight w:val="none"/>
          <w:lang w:val="en-US" w:eastAsia="zh-CN"/>
        </w:rPr>
        <w:t>报告</w:t>
      </w:r>
      <w:r>
        <w:rPr>
          <w:rFonts w:hint="eastAsia" w:eastAsia="方正小标宋简体" w:cs="Times New Roman"/>
          <w:b w:val="0"/>
          <w:bCs/>
          <w:color w:val="auto"/>
          <w:sz w:val="44"/>
          <w:szCs w:val="44"/>
          <w:highlight w:val="none"/>
          <w:lang w:val="en-US" w:eastAsia="zh-CN"/>
        </w:rPr>
        <w:t>书</w:t>
      </w:r>
      <w:r>
        <w:rPr>
          <w:rFonts w:hint="default" w:ascii="Times New Roman" w:hAnsi="Times New Roman" w:eastAsia="方正小标宋简体" w:cs="Times New Roman"/>
          <w:b w:val="0"/>
          <w:bCs/>
          <w:color w:val="auto"/>
          <w:sz w:val="44"/>
          <w:szCs w:val="44"/>
          <w:highlight w:val="none"/>
          <w:lang w:val="en-US" w:eastAsia="zh-CN"/>
        </w:rPr>
        <w:t>的批复</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default" w:ascii="Times New Roman" w:hAnsi="Times New Roman" w:eastAsia="仿宋_GB2312" w:cs="Times New Roman"/>
          <w:color w:val="auto"/>
          <w:sz w:val="32"/>
          <w:szCs w:val="32"/>
        </w:rPr>
      </w:pPr>
    </w:p>
    <w:p>
      <w:pPr>
        <w:pStyle w:val="80"/>
        <w:keepNext w:val="0"/>
        <w:keepLines w:val="0"/>
        <w:pageBreakBefore w:val="0"/>
        <w:widowControl w:val="0"/>
        <w:tabs>
          <w:tab w:val="left" w:pos="2310"/>
          <w:tab w:val="left" w:pos="2464"/>
        </w:tabs>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kern w:val="2"/>
          <w:sz w:val="32"/>
          <w:lang w:val="en-US" w:eastAsia="zh-CN"/>
        </w:rPr>
        <w:t>广东能源集团惠</w:t>
      </w:r>
      <w:r>
        <w:rPr>
          <w:rFonts w:hint="eastAsia" w:ascii="Times New Roman" w:hAnsi="Times New Roman" w:eastAsia="仿宋_GB2312" w:cs="Times New Roman"/>
          <w:color w:val="auto"/>
          <w:sz w:val="32"/>
          <w:szCs w:val="32"/>
          <w:lang w:val="en-US" w:eastAsia="zh-CN"/>
        </w:rPr>
        <w:t>州天然气开发有限公司</w:t>
      </w:r>
      <w:r>
        <w:rPr>
          <w:rFonts w:hint="default" w:ascii="Times New Roman" w:hAnsi="Times New Roman" w:eastAsia="仿宋_GB2312" w:cs="Times New Roman"/>
          <w:color w:val="auto"/>
          <w:sz w:val="32"/>
          <w:szCs w:val="32"/>
          <w:lang w:val="en-US" w:eastAsia="zh-CN"/>
        </w:rPr>
        <w:t>：</w:t>
      </w:r>
    </w:p>
    <w:p>
      <w:pPr>
        <w:pStyle w:val="80"/>
        <w:keepNext w:val="0"/>
        <w:keepLines w:val="0"/>
        <w:pageBreakBefore w:val="0"/>
        <w:widowControl w:val="0"/>
        <w:tabs>
          <w:tab w:val="left" w:pos="2310"/>
          <w:tab w:val="left" w:pos="2464"/>
        </w:tabs>
        <w:kinsoku/>
        <w:wordWrap/>
        <w:overflowPunct/>
        <w:topLinePunct w:val="0"/>
        <w:autoSpaceDE/>
        <w:autoSpaceDN/>
        <w:bidi w:val="0"/>
        <w:adjustRightInd/>
        <w:snapToGrid/>
        <w:spacing w:line="580" w:lineRule="exact"/>
        <w:ind w:left="0" w:leftChars="0" w:right="0" w:rightChars="0" w:firstLine="616"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你公司报批的《</w:t>
      </w:r>
      <w:r>
        <w:rPr>
          <w:rFonts w:hint="eastAsia" w:ascii="Times New Roman" w:hAnsi="Times New Roman" w:eastAsia="仿宋_GB2312" w:cs="Times New Roman"/>
          <w:color w:val="auto"/>
          <w:sz w:val="32"/>
          <w:szCs w:val="32"/>
          <w:lang w:val="en-US" w:eastAsia="zh-CN"/>
        </w:rPr>
        <w:t>大亚湾石化区供气管道项目</w:t>
      </w:r>
      <w:r>
        <w:rPr>
          <w:rFonts w:hint="default" w:ascii="Times New Roman" w:hAnsi="Times New Roman" w:eastAsia="仿宋_GB2312" w:cs="Times New Roman"/>
          <w:color w:val="auto"/>
          <w:sz w:val="32"/>
          <w:szCs w:val="32"/>
          <w:lang w:val="en-US" w:eastAsia="zh-CN"/>
        </w:rPr>
        <w:t>环境影响报告</w:t>
      </w:r>
      <w:r>
        <w:rPr>
          <w:rFonts w:hint="eastAsia" w:ascii="Times New Roman" w:hAnsi="Times New Roman" w:eastAsia="仿宋_GB2312" w:cs="Times New Roman"/>
          <w:color w:val="auto"/>
          <w:sz w:val="32"/>
          <w:szCs w:val="32"/>
          <w:lang w:val="en-US" w:eastAsia="zh-CN"/>
        </w:rPr>
        <w:t>书</w:t>
      </w:r>
      <w:r>
        <w:rPr>
          <w:rFonts w:hint="default" w:ascii="Times New Roman" w:hAnsi="Times New Roman" w:eastAsia="仿宋_GB2312" w:cs="Times New Roman"/>
          <w:color w:val="auto"/>
          <w:sz w:val="32"/>
          <w:szCs w:val="32"/>
          <w:lang w:eastAsia="zh-CN"/>
        </w:rPr>
        <w:t>》（以下简称</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报告</w:t>
      </w:r>
      <w:r>
        <w:rPr>
          <w:rFonts w:hint="eastAsia" w:ascii="Times New Roman" w:hAnsi="Times New Roman" w:eastAsia="仿宋_GB2312" w:cs="Times New Roman"/>
          <w:color w:val="auto"/>
          <w:sz w:val="32"/>
          <w:szCs w:val="32"/>
          <w:lang w:val="en-US" w:eastAsia="zh-CN"/>
        </w:rPr>
        <w:t>书”</w:t>
      </w:r>
      <w:r>
        <w:rPr>
          <w:rFonts w:hint="default" w:ascii="Times New Roman" w:hAnsi="Times New Roman" w:eastAsia="仿宋_GB2312" w:cs="Times New Roman"/>
          <w:color w:val="auto"/>
          <w:sz w:val="32"/>
          <w:szCs w:val="32"/>
          <w:lang w:eastAsia="zh-CN"/>
        </w:rPr>
        <w:t>）等材料收悉。经</w:t>
      </w:r>
      <w:r>
        <w:rPr>
          <w:rFonts w:hint="eastAsia" w:ascii="Times New Roman" w:hAnsi="Times New Roman" w:eastAsia="仿宋_GB2312" w:cs="Times New Roman"/>
          <w:color w:val="auto"/>
          <w:sz w:val="32"/>
          <w:szCs w:val="32"/>
          <w:lang w:eastAsia="zh-CN"/>
        </w:rPr>
        <w:t>审</w:t>
      </w:r>
      <w:r>
        <w:rPr>
          <w:rFonts w:hint="eastAsia" w:ascii="Times New Roman" w:eastAsia="仿宋_GB2312" w:cs="Times New Roman"/>
          <w:color w:val="auto"/>
          <w:sz w:val="32"/>
          <w:szCs w:val="32"/>
          <w:lang w:eastAsia="zh-CN"/>
        </w:rPr>
        <w:t>查</w:t>
      </w:r>
      <w:r>
        <w:rPr>
          <w:rFonts w:hint="default" w:ascii="Times New Roman" w:hAnsi="Times New Roman" w:eastAsia="仿宋_GB2312" w:cs="Times New Roman"/>
          <w:color w:val="auto"/>
          <w:sz w:val="32"/>
          <w:szCs w:val="32"/>
          <w:lang w:eastAsia="zh-CN"/>
        </w:rPr>
        <w:t>，批复如下：</w:t>
      </w:r>
    </w:p>
    <w:p>
      <w:pPr>
        <w:keepNext w:val="0"/>
        <w:keepLines w:val="0"/>
        <w:pageBreakBefore w:val="0"/>
        <w:widowControl w:val="0"/>
        <w:kinsoku/>
        <w:wordWrap/>
        <w:overflowPunct/>
        <w:topLinePunct w:val="0"/>
        <w:autoSpaceDE/>
        <w:autoSpaceDN/>
        <w:bidi w:val="0"/>
        <w:spacing w:line="580" w:lineRule="exact"/>
        <w:ind w:firstLine="616"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一、大亚湾石化区供气管道项目位于惠州大亚湾经济技术开发区，管道起于惠州LNG接收站外输管道工程大亚湾分输清管站</w:t>
      </w:r>
      <w:r>
        <w:rPr>
          <w:rFonts w:hint="default" w:ascii="Times New Roman" w:hAnsi="Times New Roman" w:eastAsia="仿宋_GB2312" w:cs="Times New Roman"/>
          <w:color w:val="auto"/>
          <w:sz w:val="32"/>
          <w:szCs w:val="32"/>
          <w:lang w:val="en-US" w:eastAsia="zh-CN"/>
        </w:rPr>
        <w:t>外2m处</w:t>
      </w:r>
      <w:r>
        <w:rPr>
          <w:rFonts w:hint="eastAsia" w:ascii="Times New Roman" w:hAnsi="Times New Roman" w:eastAsia="仿宋_GB2312" w:cs="Times New Roman"/>
          <w:color w:val="auto"/>
          <w:sz w:val="32"/>
          <w:szCs w:val="32"/>
          <w:lang w:val="en-US" w:eastAsia="zh-CN"/>
        </w:rPr>
        <w:t>，由东向西敷设，在惠深沿海高速旁折向南敷设进入大亚湾石化区，终于西部综合能源站内接收工艺装置区。管道设计压力为6.0MPa，管径D711mm，线路长度约为6.12km，其中石化区外约2.64km（</w:t>
      </w:r>
      <w:r>
        <w:rPr>
          <w:rFonts w:hint="default" w:ascii="Times New Roman" w:hAnsi="Times New Roman" w:eastAsia="仿宋_GB2312" w:cs="Times New Roman"/>
          <w:color w:val="auto"/>
          <w:sz w:val="32"/>
          <w:szCs w:val="32"/>
          <w:lang w:val="en-US" w:eastAsia="zh-CN"/>
        </w:rPr>
        <w:t>以开挖敷设埋地方式穿越惠州铁炉嶂市级森林公园1.50km</w:t>
      </w:r>
      <w:r>
        <w:rPr>
          <w:rFonts w:hint="eastAsia" w:ascii="Times New Roman" w:hAnsi="Times New Roman" w:eastAsia="仿宋_GB2312" w:cs="Times New Roman"/>
          <w:color w:val="auto"/>
          <w:sz w:val="32"/>
          <w:szCs w:val="32"/>
          <w:lang w:val="en-US" w:eastAsia="zh-CN"/>
        </w:rPr>
        <w:t>），石化区内约3.48km。项目设计输量为20.25×10</w:t>
      </w:r>
      <w:r>
        <w:rPr>
          <w:rFonts w:hint="eastAsia" w:ascii="Times New Roman" w:hAnsi="Times New Roman" w:eastAsia="仿宋_GB2312" w:cs="Times New Roman"/>
          <w:color w:val="auto"/>
          <w:sz w:val="32"/>
          <w:szCs w:val="32"/>
          <w:vertAlign w:val="superscript"/>
          <w:lang w:val="en-US" w:eastAsia="zh-CN"/>
        </w:rPr>
        <w:t>8</w:t>
      </w:r>
      <w:r>
        <w:rPr>
          <w:rFonts w:hint="eastAsia" w:ascii="Times New Roman" w:hAnsi="Times New Roman" w:eastAsia="仿宋_GB2312" w:cs="Times New Roman"/>
          <w:color w:val="auto"/>
          <w:sz w:val="32"/>
          <w:szCs w:val="32"/>
          <w:lang w:val="en-US" w:eastAsia="zh-CN"/>
        </w:rPr>
        <w:t>Nm</w:t>
      </w:r>
      <w:r>
        <w:rPr>
          <w:rFonts w:hint="eastAsia" w:ascii="Times New Roman" w:hAnsi="Times New Roman" w:eastAsia="仿宋_GB2312" w:cs="Times New Roman"/>
          <w:color w:val="auto"/>
          <w:sz w:val="32"/>
          <w:szCs w:val="32"/>
          <w:vertAlign w:val="superscript"/>
          <w:lang w:val="en-US" w:eastAsia="zh-CN"/>
        </w:rPr>
        <w:t>3</w:t>
      </w:r>
      <w:r>
        <w:rPr>
          <w:rFonts w:hint="eastAsia" w:ascii="Times New Roman" w:hAnsi="Times New Roman" w:eastAsia="仿宋_GB2312" w:cs="Times New Roman"/>
          <w:color w:val="auto"/>
          <w:sz w:val="32"/>
          <w:szCs w:val="32"/>
          <w:lang w:val="en-US" w:eastAsia="zh-CN"/>
        </w:rPr>
        <w:t>/a，新建1座场站，位于石化区西部综合能源站内的接收工艺装置区，为无人值守站。</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80" w:lineRule="exact"/>
        <w:ind w:firstLine="616" w:firstLineChars="200"/>
        <w:textAlignment w:val="auto"/>
        <w:outlineLvl w:val="9"/>
        <w:rPr>
          <w:rFonts w:hint="default" w:ascii="Times New Roman" w:hAnsi="Times New Roman" w:eastAsia="仿宋_GB2312" w:cs="Times New Roman"/>
          <w:color w:val="auto"/>
          <w:kern w:val="2"/>
          <w:sz w:val="32"/>
          <w:szCs w:val="32"/>
          <w:lang w:val="en-US" w:eastAsia="zh-CN" w:bidi="ar-SA"/>
        </w:rPr>
      </w:pPr>
      <w:r>
        <w:rPr>
          <w:rFonts w:hint="eastAsia" w:cs="Times New Roman"/>
          <w:b w:val="0"/>
          <w:bCs w:val="0"/>
          <w:color w:val="auto"/>
          <w:kern w:val="0"/>
          <w:sz w:val="32"/>
          <w:szCs w:val="32"/>
          <w:highlight w:val="none"/>
          <w:lang w:val="en-US" w:eastAsia="zh-CN"/>
        </w:rPr>
        <w:t>二、</w:t>
      </w:r>
      <w:r>
        <w:rPr>
          <w:rFonts w:hint="default" w:ascii="Times New Roman" w:hAnsi="Times New Roman" w:eastAsia="仿宋_GB2312" w:cs="Times New Roman"/>
          <w:b w:val="0"/>
          <w:bCs w:val="0"/>
          <w:color w:val="auto"/>
          <w:kern w:val="0"/>
          <w:sz w:val="32"/>
          <w:szCs w:val="32"/>
          <w:highlight w:val="none"/>
          <w:lang w:val="en-US" w:eastAsia="zh-CN"/>
        </w:rPr>
        <w:t>根据报告</w:t>
      </w:r>
      <w:r>
        <w:rPr>
          <w:rFonts w:hint="eastAsia" w:cs="Times New Roman"/>
          <w:b w:val="0"/>
          <w:bCs w:val="0"/>
          <w:color w:val="auto"/>
          <w:kern w:val="0"/>
          <w:sz w:val="32"/>
          <w:szCs w:val="32"/>
          <w:highlight w:val="none"/>
          <w:lang w:val="en-US" w:eastAsia="zh-CN"/>
        </w:rPr>
        <w:t>书的</w:t>
      </w:r>
      <w:r>
        <w:rPr>
          <w:rFonts w:hint="default" w:ascii="Times New Roman" w:hAnsi="Times New Roman" w:eastAsia="仿宋_GB2312" w:cs="Times New Roman"/>
          <w:b w:val="0"/>
          <w:bCs w:val="0"/>
          <w:color w:val="auto"/>
          <w:kern w:val="0"/>
          <w:sz w:val="32"/>
          <w:szCs w:val="32"/>
          <w:highlight w:val="none"/>
          <w:lang w:val="en-US" w:eastAsia="zh-CN"/>
        </w:rPr>
        <w:t>评价结论、惠州市生态环境局</w:t>
      </w:r>
      <w:r>
        <w:rPr>
          <w:rFonts w:hint="eastAsia" w:cs="Times New Roman"/>
          <w:b w:val="0"/>
          <w:bCs w:val="0"/>
          <w:color w:val="auto"/>
          <w:kern w:val="0"/>
          <w:sz w:val="32"/>
          <w:szCs w:val="32"/>
          <w:highlight w:val="none"/>
          <w:lang w:val="en-US" w:eastAsia="zh-CN"/>
        </w:rPr>
        <w:t>大亚湾</w:t>
      </w:r>
      <w:r>
        <w:rPr>
          <w:rFonts w:hint="default" w:ascii="Times New Roman" w:hAnsi="Times New Roman" w:eastAsia="仿宋_GB2312" w:cs="Times New Roman"/>
          <w:b w:val="0"/>
          <w:bCs w:val="0"/>
          <w:color w:val="auto"/>
          <w:kern w:val="0"/>
          <w:sz w:val="32"/>
          <w:szCs w:val="32"/>
          <w:highlight w:val="none"/>
          <w:lang w:val="en-US" w:eastAsia="zh-CN"/>
        </w:rPr>
        <w:t>分局的</w:t>
      </w:r>
      <w:r>
        <w:rPr>
          <w:rFonts w:hint="eastAsia" w:cs="Times New Roman"/>
          <w:b w:val="0"/>
          <w:bCs w:val="0"/>
          <w:color w:val="auto"/>
          <w:kern w:val="0"/>
          <w:sz w:val="32"/>
          <w:szCs w:val="32"/>
          <w:highlight w:val="none"/>
          <w:lang w:val="en-US" w:eastAsia="zh-CN"/>
        </w:rPr>
        <w:t>初审</w:t>
      </w:r>
      <w:r>
        <w:rPr>
          <w:rFonts w:hint="default" w:ascii="Times New Roman" w:hAnsi="Times New Roman" w:eastAsia="仿宋_GB2312" w:cs="Times New Roman"/>
          <w:b w:val="0"/>
          <w:bCs w:val="0"/>
          <w:color w:val="auto"/>
          <w:kern w:val="0"/>
          <w:sz w:val="32"/>
          <w:szCs w:val="32"/>
          <w:highlight w:val="none"/>
          <w:lang w:val="en-US" w:eastAsia="zh-CN"/>
        </w:rPr>
        <w:t>意见和</w:t>
      </w:r>
      <w:r>
        <w:rPr>
          <w:rFonts w:hint="default" w:ascii="Times New Roman" w:hAnsi="Times New Roman" w:cs="Times New Roman"/>
          <w:b w:val="0"/>
          <w:bCs w:val="0"/>
          <w:color w:val="auto"/>
          <w:kern w:val="0"/>
          <w:sz w:val="32"/>
          <w:szCs w:val="32"/>
          <w:highlight w:val="none"/>
          <w:lang w:eastAsia="zh-CN"/>
        </w:rPr>
        <w:t>惠州</w:t>
      </w:r>
      <w:r>
        <w:rPr>
          <w:rFonts w:hint="default" w:ascii="Times New Roman" w:hAnsi="Times New Roman" w:eastAsia="仿宋_GB2312" w:cs="Times New Roman"/>
          <w:b w:val="0"/>
          <w:bCs w:val="0"/>
          <w:color w:val="auto"/>
          <w:kern w:val="0"/>
          <w:sz w:val="32"/>
          <w:szCs w:val="32"/>
          <w:highlight w:val="none"/>
          <w:lang w:val="en-US" w:eastAsia="zh-CN"/>
        </w:rPr>
        <w:t>市环境科学研究所的技术评估报告，</w:t>
      </w:r>
      <w:r>
        <w:rPr>
          <w:rFonts w:hint="default" w:ascii="Times New Roman" w:hAnsi="Times New Roman" w:eastAsia="仿宋_GB2312" w:cs="Times New Roman"/>
          <w:color w:val="auto"/>
          <w:kern w:val="2"/>
          <w:sz w:val="32"/>
          <w:szCs w:val="32"/>
          <w:lang w:val="en-US" w:eastAsia="zh-CN" w:bidi="ar-SA"/>
        </w:rPr>
        <w:t>在全面落实报告</w:t>
      </w:r>
      <w:r>
        <w:rPr>
          <w:rFonts w:hint="default" w:ascii="Times New Roman" w:hAnsi="Times New Roman" w:cs="Times New Roman"/>
          <w:color w:val="auto"/>
          <w:kern w:val="2"/>
          <w:sz w:val="32"/>
          <w:szCs w:val="32"/>
          <w:lang w:val="en-US" w:eastAsia="zh-CN" w:bidi="ar-SA"/>
        </w:rPr>
        <w:t>书</w:t>
      </w:r>
      <w:r>
        <w:rPr>
          <w:rFonts w:hint="default" w:ascii="Times New Roman" w:hAnsi="Times New Roman" w:eastAsia="仿宋_GB2312" w:cs="Times New Roman"/>
          <w:color w:val="auto"/>
          <w:kern w:val="2"/>
          <w:sz w:val="32"/>
          <w:szCs w:val="32"/>
          <w:lang w:val="en-US" w:eastAsia="zh-CN" w:bidi="ar-SA"/>
        </w:rPr>
        <w:t>提出的各项污染防治、生态保护和环境风险防范措施，确保生态环境安全的前提下，项目按照报告书中所列性质、规模、地点</w:t>
      </w:r>
      <w:r>
        <w:rPr>
          <w:rFonts w:hint="eastAsia" w:ascii="Times New Roman" w:hAnsi="Times New Roman" w:cs="Times New Roman"/>
          <w:color w:val="auto"/>
          <w:kern w:val="2"/>
          <w:sz w:val="32"/>
          <w:szCs w:val="32"/>
          <w:lang w:val="en-US" w:eastAsia="zh-CN" w:bidi="ar-SA"/>
        </w:rPr>
        <w:t>、工艺</w:t>
      </w:r>
      <w:r>
        <w:rPr>
          <w:rFonts w:hint="default" w:ascii="Times New Roman" w:hAnsi="Times New Roman" w:eastAsia="仿宋_GB2312" w:cs="Times New Roman"/>
          <w:color w:val="auto"/>
          <w:kern w:val="2"/>
          <w:sz w:val="32"/>
          <w:szCs w:val="32"/>
          <w:lang w:val="en-US" w:eastAsia="zh-CN" w:bidi="ar-SA"/>
        </w:rPr>
        <w:t>和拟采取的生态环境保护措施、风险防范措施进行</w:t>
      </w:r>
      <w:r>
        <w:rPr>
          <w:rFonts w:hint="eastAsia" w:ascii="Times New Roman" w:hAnsi="Times New Roman" w:cs="Times New Roman"/>
          <w:color w:val="auto"/>
          <w:kern w:val="2"/>
          <w:sz w:val="32"/>
          <w:szCs w:val="32"/>
          <w:lang w:val="en-US" w:eastAsia="zh-CN" w:bidi="ar-SA"/>
        </w:rPr>
        <w:t>建设</w:t>
      </w:r>
      <w:r>
        <w:rPr>
          <w:rFonts w:hint="default" w:ascii="Times New Roman" w:hAnsi="Times New Roman" w:eastAsia="仿宋_GB2312" w:cs="Times New Roman"/>
          <w:color w:val="auto"/>
          <w:kern w:val="2"/>
          <w:sz w:val="32"/>
          <w:szCs w:val="32"/>
          <w:lang w:val="en-US" w:eastAsia="zh-CN" w:bidi="ar-SA"/>
        </w:rPr>
        <w:t>，从</w:t>
      </w:r>
      <w:r>
        <w:rPr>
          <w:rFonts w:hint="eastAsia" w:ascii="Times New Roman" w:hAnsi="Times New Roman" w:cs="Times New Roman"/>
          <w:color w:val="auto"/>
          <w:kern w:val="2"/>
          <w:sz w:val="32"/>
          <w:szCs w:val="32"/>
          <w:lang w:val="en-US" w:eastAsia="zh-CN" w:bidi="ar-SA"/>
        </w:rPr>
        <w:t>生态环境保护</w:t>
      </w:r>
      <w:r>
        <w:rPr>
          <w:rFonts w:hint="default" w:ascii="Times New Roman" w:hAnsi="Times New Roman" w:eastAsia="仿宋_GB2312" w:cs="Times New Roman"/>
          <w:color w:val="auto"/>
          <w:kern w:val="2"/>
          <w:sz w:val="32"/>
          <w:szCs w:val="32"/>
          <w:lang w:val="en-US" w:eastAsia="zh-CN" w:bidi="ar-SA"/>
        </w:rPr>
        <w:t xml:space="preserve">角度可行。项目建设和运营中应重点做好以下工作：     </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580" w:lineRule="exact"/>
        <w:ind w:firstLine="616" w:firstLineChars="200"/>
        <w:textAlignment w:val="auto"/>
        <w:outlineLvl w:val="9"/>
        <w:rPr>
          <w:rFonts w:hint="default" w:ascii="Times New Roman" w:hAnsi="Times New Roman" w:eastAsia="仿宋_GB2312" w:cs="Times New Roman"/>
          <w:color w:val="0000FF"/>
          <w:sz w:val="32"/>
          <w:szCs w:val="32"/>
          <w:highlight w:val="none"/>
          <w:lang w:val="en-US" w:eastAsia="zh-CN"/>
        </w:rPr>
      </w:pPr>
      <w:r>
        <w:rPr>
          <w:rFonts w:hint="eastAsia" w:ascii="Times New Roman" w:hAnsi="Times New Roman" w:eastAsia="仿宋_GB2312" w:cs="Times New Roman"/>
          <w:color w:val="auto"/>
          <w:kern w:val="2"/>
          <w:sz w:val="32"/>
          <w:szCs w:val="32"/>
          <w:lang w:val="en-US" w:eastAsia="zh-CN" w:bidi="ar-SA"/>
        </w:rPr>
        <w:t>（一）严格落实有效的生态保护措施</w:t>
      </w:r>
      <w:r>
        <w:rPr>
          <w:rFonts w:hint="default" w:ascii="Times New Roman" w:hAnsi="Times New Roman" w:eastAsia="仿宋_GB2312" w:cs="Times New Roman"/>
          <w:color w:val="auto"/>
          <w:kern w:val="2"/>
          <w:sz w:val="32"/>
          <w:szCs w:val="32"/>
          <w:lang w:val="en-US" w:eastAsia="zh-CN" w:bidi="ar-SA"/>
        </w:rPr>
        <w:t>。</w:t>
      </w:r>
      <w:r>
        <w:rPr>
          <w:rFonts w:hint="eastAsia" w:ascii="Times New Roman" w:hAnsi="Times New Roman" w:eastAsia="仿宋_GB2312" w:cs="Times New Roman"/>
          <w:color w:val="auto"/>
          <w:kern w:val="2"/>
          <w:sz w:val="32"/>
          <w:szCs w:val="32"/>
          <w:lang w:val="en-US" w:eastAsia="zh-CN" w:bidi="ar-SA"/>
        </w:rPr>
        <w:t>优化管道穿越惠州铁炉嶂市级森林公园等环境敏感区域的路由和施工方式，</w:t>
      </w:r>
      <w:r>
        <w:rPr>
          <w:rFonts w:hint="default" w:ascii="Times New Roman" w:hAnsi="Times New Roman" w:eastAsia="仿宋_GB2312" w:cs="Times New Roman"/>
          <w:color w:val="auto"/>
          <w:kern w:val="2"/>
          <w:sz w:val="32"/>
          <w:szCs w:val="32"/>
          <w:lang w:val="en-US" w:eastAsia="zh-CN" w:bidi="ar-SA"/>
        </w:rPr>
        <w:t>加强施工管理</w:t>
      </w:r>
      <w:r>
        <w:rPr>
          <w:rFonts w:hint="eastAsia" w:ascii="Times New Roman" w:hAnsi="Times New Roman" w:eastAsia="仿宋_GB2312" w:cs="Times New Roman"/>
          <w:color w:val="auto"/>
          <w:kern w:val="2"/>
          <w:sz w:val="32"/>
          <w:szCs w:val="32"/>
          <w:lang w:val="en-US" w:eastAsia="zh-CN" w:bidi="ar-SA"/>
        </w:rPr>
        <w:t>，严格控制施工作业带范围，</w:t>
      </w:r>
      <w:r>
        <w:rPr>
          <w:rFonts w:hint="eastAsia"/>
          <w:lang w:val="en-US" w:eastAsia="zh-CN"/>
        </w:rPr>
        <w:t>不得</w:t>
      </w:r>
      <w:r>
        <w:rPr>
          <w:rFonts w:hint="eastAsia"/>
        </w:rPr>
        <w:t>在森林公园内设置施工便道</w:t>
      </w:r>
      <w:r>
        <w:rPr>
          <w:rFonts w:hint="eastAsia"/>
          <w:lang w:eastAsia="zh-CN"/>
        </w:rPr>
        <w:t>、</w:t>
      </w:r>
      <w:r>
        <w:t>堆管场和弃渣场</w:t>
      </w:r>
      <w:r>
        <w:rPr>
          <w:rFonts w:hint="eastAsia"/>
          <w:lang w:eastAsia="zh-CN"/>
        </w:rPr>
        <w:t>。</w:t>
      </w:r>
      <w:r>
        <w:rPr>
          <w:rFonts w:hint="eastAsia" w:ascii="Times New Roman" w:hAnsi="Times New Roman" w:eastAsia="仿宋_GB2312" w:cs="Times New Roman"/>
          <w:color w:val="auto"/>
          <w:kern w:val="2"/>
          <w:sz w:val="32"/>
          <w:szCs w:val="32"/>
          <w:lang w:val="en-US" w:eastAsia="zh-CN" w:bidi="ar-SA"/>
        </w:rPr>
        <w:t>减少临时占地和植被破坏，</w:t>
      </w:r>
      <w:r>
        <w:rPr>
          <w:rFonts w:hint="default" w:ascii="Times New Roman" w:hAnsi="Times New Roman" w:eastAsia="仿宋_GB2312" w:cs="Times New Roman"/>
          <w:color w:val="auto"/>
          <w:kern w:val="2"/>
          <w:sz w:val="32"/>
          <w:szCs w:val="32"/>
          <w:lang w:val="en-US" w:eastAsia="zh-CN" w:bidi="ar-SA"/>
        </w:rPr>
        <w:t>落实好分层开挖、分层堆放、分层回填</w:t>
      </w:r>
      <w:r>
        <w:rPr>
          <w:rFonts w:hint="eastAsia" w:ascii="Times New Roman" w:hAnsi="Times New Roman" w:eastAsia="仿宋_GB2312" w:cs="Times New Roman"/>
          <w:color w:val="auto"/>
          <w:kern w:val="2"/>
          <w:sz w:val="32"/>
          <w:szCs w:val="32"/>
          <w:lang w:val="en-US" w:eastAsia="zh-CN" w:bidi="ar-SA"/>
        </w:rPr>
        <w:t>措施，及时做好植被</w:t>
      </w:r>
      <w:r>
        <w:rPr>
          <w:rFonts w:hint="eastAsia" w:cs="Times New Roman"/>
          <w:b w:val="0"/>
          <w:bCs w:val="0"/>
          <w:color w:val="000000" w:themeColor="text1"/>
          <w:kern w:val="0"/>
          <w:sz w:val="32"/>
          <w:szCs w:val="32"/>
          <w:highlight w:val="none"/>
          <w:lang w:val="en-US" w:eastAsia="zh-CN"/>
          <w14:textFill>
            <w14:solidFill>
              <w14:schemeClr w14:val="tx1"/>
            </w14:solidFill>
          </w14:textFill>
        </w:rPr>
        <w:t>恢复工作。合理安排</w:t>
      </w:r>
      <w:r>
        <w:rPr>
          <w:rFonts w:hint="eastAsia" w:ascii="Times New Roman" w:hAnsi="Times New Roman" w:eastAsia="仿宋_GB2312" w:cs="Times New Roman"/>
          <w:b w:val="0"/>
          <w:bCs w:val="0"/>
          <w:color w:val="auto"/>
          <w:kern w:val="0"/>
          <w:sz w:val="32"/>
          <w:szCs w:val="32"/>
          <w:highlight w:val="none"/>
          <w:lang w:val="en-US" w:eastAsia="zh-CN"/>
        </w:rPr>
        <w:t>管道穿越岩前河支流等水体</w:t>
      </w:r>
      <w:r>
        <w:rPr>
          <w:rFonts w:hint="eastAsia" w:cs="Times New Roman"/>
          <w:b w:val="0"/>
          <w:bCs w:val="0"/>
          <w:color w:val="auto"/>
          <w:kern w:val="0"/>
          <w:sz w:val="32"/>
          <w:szCs w:val="32"/>
          <w:highlight w:val="none"/>
          <w:lang w:val="en-US" w:eastAsia="zh-CN"/>
        </w:rPr>
        <w:t>的施工时序</w:t>
      </w:r>
      <w:r>
        <w:rPr>
          <w:rFonts w:hint="eastAsia" w:ascii="Times New Roman" w:hAnsi="Times New Roman" w:eastAsia="仿宋_GB2312" w:cs="Times New Roman"/>
          <w:b w:val="0"/>
          <w:bCs w:val="0"/>
          <w:color w:val="auto"/>
          <w:kern w:val="0"/>
          <w:sz w:val="32"/>
          <w:szCs w:val="32"/>
          <w:highlight w:val="none"/>
          <w:lang w:val="en-US" w:eastAsia="zh-CN"/>
        </w:rPr>
        <w:t>，</w:t>
      </w:r>
      <w:r>
        <w:rPr>
          <w:rFonts w:hint="eastAsia" w:cs="Times New Roman"/>
          <w:b w:val="0"/>
          <w:bCs w:val="0"/>
          <w:color w:val="auto"/>
          <w:kern w:val="0"/>
          <w:sz w:val="32"/>
          <w:szCs w:val="32"/>
          <w:highlight w:val="none"/>
          <w:lang w:val="en-US" w:eastAsia="zh-CN"/>
        </w:rPr>
        <w:t>采用</w:t>
      </w:r>
      <w:r>
        <w:rPr>
          <w:rFonts w:hint="eastAsia"/>
        </w:rPr>
        <w:t>围堰导流方式施工</w:t>
      </w:r>
      <w:r>
        <w:rPr>
          <w:rFonts w:hint="eastAsia" w:cs="Times New Roman"/>
          <w:b w:val="0"/>
          <w:bCs w:val="0"/>
          <w:color w:val="auto"/>
          <w:kern w:val="0"/>
          <w:sz w:val="32"/>
          <w:szCs w:val="32"/>
          <w:highlight w:val="none"/>
          <w:lang w:val="en-US" w:eastAsia="zh-CN"/>
        </w:rPr>
        <w:t>，</w:t>
      </w:r>
      <w:r>
        <w:rPr>
          <w:rFonts w:hint="eastAsia" w:ascii="Times New Roman" w:hAnsi="Times New Roman" w:eastAsia="仿宋_GB2312" w:cs="Times New Roman"/>
          <w:b w:val="0"/>
          <w:bCs w:val="0"/>
          <w:color w:val="auto"/>
          <w:kern w:val="0"/>
          <w:sz w:val="32"/>
          <w:szCs w:val="32"/>
          <w:highlight w:val="none"/>
          <w:lang w:val="en-US" w:eastAsia="zh-CN"/>
        </w:rPr>
        <w:t>做好水土保护措施，防止水土流失。</w:t>
      </w:r>
    </w:p>
    <w:p>
      <w:pPr>
        <w:keepNext w:val="0"/>
        <w:keepLines w:val="0"/>
        <w:pageBreakBefore w:val="0"/>
        <w:kinsoku/>
        <w:wordWrap/>
        <w:overflowPunct/>
        <w:topLinePunct w:val="0"/>
        <w:autoSpaceDE/>
        <w:autoSpaceDN/>
        <w:bidi w:val="0"/>
        <w:spacing w:line="580" w:lineRule="exact"/>
        <w:ind w:firstLine="480"/>
        <w:textAlignment w:val="auto"/>
        <w:rPr>
          <w:rFonts w:hint="eastAsia"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（二）</w:t>
      </w:r>
      <w:r>
        <w:rPr>
          <w:rFonts w:hint="default" w:ascii="Times New Roman" w:hAnsi="Times New Roman" w:eastAsia="仿宋_GB2312" w:cs="Times New Roman"/>
          <w:color w:val="auto"/>
          <w:kern w:val="2"/>
          <w:sz w:val="32"/>
          <w:szCs w:val="32"/>
          <w:lang w:val="en-US" w:eastAsia="zh-CN" w:bidi="ar-SA"/>
        </w:rPr>
        <w:t>严格落实水</w:t>
      </w:r>
      <w:r>
        <w:rPr>
          <w:rFonts w:hint="eastAsia" w:ascii="Times New Roman" w:hAnsi="Times New Roman" w:eastAsia="仿宋_GB2312" w:cs="Times New Roman"/>
          <w:color w:val="auto"/>
          <w:kern w:val="2"/>
          <w:sz w:val="32"/>
          <w:szCs w:val="32"/>
          <w:lang w:val="en-US" w:eastAsia="zh-CN" w:bidi="ar-SA"/>
        </w:rPr>
        <w:t>环境保护</w:t>
      </w:r>
      <w:r>
        <w:rPr>
          <w:rFonts w:hint="default" w:ascii="Times New Roman" w:hAnsi="Times New Roman" w:eastAsia="仿宋_GB2312" w:cs="Times New Roman"/>
          <w:color w:val="auto"/>
          <w:kern w:val="2"/>
          <w:sz w:val="32"/>
          <w:szCs w:val="32"/>
          <w:lang w:val="en-US" w:eastAsia="zh-CN" w:bidi="ar-SA"/>
        </w:rPr>
        <w:t>措施。</w:t>
      </w:r>
      <w:r>
        <w:rPr>
          <w:rFonts w:hint="eastAsia" w:ascii="Times New Roman" w:hAnsi="Times New Roman" w:eastAsia="仿宋_GB2312" w:cs="Times New Roman"/>
          <w:color w:val="auto"/>
          <w:kern w:val="2"/>
          <w:sz w:val="32"/>
          <w:szCs w:val="32"/>
          <w:lang w:val="en-US" w:eastAsia="zh-CN" w:bidi="ar-SA"/>
        </w:rPr>
        <w:t>管道施工不设施工营地，生活污水依托当地污水处理系统处理；施工废水经处理后回用于施工场地洒水降尘，不外排。</w:t>
      </w:r>
      <w:r>
        <w:rPr>
          <w:rFonts w:hint="default" w:ascii="Times New Roman" w:hAnsi="Times New Roman" w:eastAsia="仿宋_GB2312" w:cs="Times New Roman"/>
          <w:color w:val="auto"/>
          <w:kern w:val="2"/>
          <w:sz w:val="32"/>
          <w:szCs w:val="32"/>
          <w:lang w:val="en-US" w:eastAsia="zh-CN" w:bidi="ar-SA"/>
        </w:rPr>
        <w:t>管道敷设及河道穿越作业过程</w:t>
      </w:r>
      <w:r>
        <w:rPr>
          <w:rFonts w:hint="eastAsia" w:ascii="Times New Roman" w:hAnsi="Times New Roman" w:eastAsia="仿宋_GB2312" w:cs="Times New Roman"/>
          <w:color w:val="auto"/>
          <w:kern w:val="2"/>
          <w:sz w:val="32"/>
          <w:szCs w:val="32"/>
          <w:lang w:val="en-US" w:eastAsia="zh-CN" w:bidi="ar-SA"/>
        </w:rPr>
        <w:t>产生的临时</w:t>
      </w:r>
      <w:r>
        <w:rPr>
          <w:rFonts w:hint="default" w:ascii="Times New Roman" w:hAnsi="Times New Roman" w:eastAsia="仿宋_GB2312" w:cs="Times New Roman"/>
          <w:color w:val="auto"/>
          <w:kern w:val="2"/>
          <w:sz w:val="32"/>
          <w:szCs w:val="32"/>
          <w:lang w:val="en-US" w:eastAsia="zh-CN" w:bidi="ar-SA"/>
        </w:rPr>
        <w:t>土方石应在</w:t>
      </w:r>
      <w:r>
        <w:rPr>
          <w:rFonts w:hint="eastAsia" w:ascii="Times New Roman" w:hAnsi="Times New Roman" w:eastAsia="仿宋_GB2312" w:cs="Times New Roman"/>
          <w:color w:val="auto"/>
          <w:kern w:val="2"/>
          <w:sz w:val="32"/>
          <w:szCs w:val="32"/>
          <w:lang w:val="en-US" w:eastAsia="zh-CN" w:bidi="ar-SA"/>
        </w:rPr>
        <w:t>施工作业带内</w:t>
      </w:r>
      <w:r>
        <w:rPr>
          <w:rFonts w:hint="default" w:ascii="Times New Roman" w:hAnsi="Times New Roman" w:eastAsia="仿宋_GB2312" w:cs="Times New Roman"/>
          <w:color w:val="auto"/>
          <w:kern w:val="2"/>
          <w:sz w:val="32"/>
          <w:szCs w:val="32"/>
          <w:lang w:val="en-US" w:eastAsia="zh-CN" w:bidi="ar-SA"/>
        </w:rPr>
        <w:t>堆放，禁止弃入河道或河滩，</w:t>
      </w:r>
      <w:r>
        <w:t>不得在水体附近清洗施工器具、机械等。</w:t>
      </w:r>
      <w:r>
        <w:rPr>
          <w:rFonts w:hint="eastAsia" w:ascii="Times New Roman" w:hAnsi="Times New Roman" w:eastAsia="仿宋_GB2312" w:cs="Times New Roman"/>
          <w:color w:val="auto"/>
          <w:kern w:val="2"/>
          <w:sz w:val="32"/>
          <w:szCs w:val="32"/>
          <w:lang w:val="en-US" w:eastAsia="zh-CN" w:bidi="ar-SA"/>
        </w:rPr>
        <w:t>管道试压采用清洁水，试压废水经沉淀后排入附近沟渠，执行</w:t>
      </w:r>
      <w:r>
        <w:rPr>
          <w:rFonts w:hint="default" w:ascii="Times New Roman" w:hAnsi="Times New Roman" w:eastAsia="仿宋_GB2312" w:cs="Times New Roman"/>
          <w:color w:val="auto"/>
          <w:kern w:val="2"/>
          <w:sz w:val="32"/>
          <w:szCs w:val="32"/>
          <w:lang w:val="en-US" w:eastAsia="zh-CN" w:bidi="ar-SA"/>
        </w:rPr>
        <w:t>《水污染物排放限值》（DB44/26-2001）第二时段一级标准，禁止排入I、II 类水域和III类水域中划定的保护区。</w:t>
      </w:r>
      <w:r>
        <w:rPr>
          <w:rFonts w:hint="eastAsia" w:ascii="Times New Roman" w:hAnsi="Times New Roman" w:eastAsia="仿宋_GB2312" w:cs="Times New Roman"/>
          <w:color w:val="auto"/>
          <w:kern w:val="2"/>
          <w:sz w:val="32"/>
          <w:szCs w:val="32"/>
          <w:lang w:val="en-US" w:eastAsia="zh-CN" w:bidi="ar-SA"/>
        </w:rPr>
        <w:t>营运期接收工艺装置区井封</w:t>
      </w:r>
      <w:r>
        <w:rPr>
          <w:rFonts w:hint="default" w:ascii="Times New Roman" w:hAnsi="Times New Roman" w:eastAsia="仿宋_GB2312" w:cs="Times New Roman"/>
          <w:color w:val="auto"/>
          <w:kern w:val="2"/>
          <w:sz w:val="32"/>
          <w:szCs w:val="32"/>
          <w:lang w:val="en-US" w:eastAsia="zh-CN" w:bidi="ar-SA"/>
        </w:rPr>
        <w:t>废水</w:t>
      </w:r>
      <w:r>
        <w:rPr>
          <w:rFonts w:hint="eastAsia" w:ascii="Times New Roman" w:hAnsi="Times New Roman" w:eastAsia="仿宋_GB2312" w:cs="Times New Roman"/>
          <w:color w:val="auto"/>
          <w:kern w:val="2"/>
          <w:sz w:val="32"/>
          <w:szCs w:val="32"/>
          <w:lang w:val="en-US" w:eastAsia="zh-CN" w:bidi="ar-SA"/>
        </w:rPr>
        <w:t>作为危险废物</w:t>
      </w:r>
      <w:r>
        <w:rPr>
          <w:rFonts w:hint="default" w:ascii="Times New Roman" w:hAnsi="Times New Roman" w:eastAsia="仿宋_GB2312" w:cs="Times New Roman"/>
          <w:color w:val="auto"/>
          <w:kern w:val="2"/>
          <w:sz w:val="32"/>
          <w:szCs w:val="32"/>
          <w:lang w:val="en-US" w:eastAsia="zh-CN" w:bidi="ar-SA"/>
        </w:rPr>
        <w:t>定期</w:t>
      </w:r>
      <w:r>
        <w:rPr>
          <w:rFonts w:hint="eastAsia" w:ascii="Times New Roman" w:hAnsi="Times New Roman" w:eastAsia="仿宋_GB2312" w:cs="Times New Roman"/>
          <w:color w:val="auto"/>
          <w:kern w:val="2"/>
          <w:sz w:val="32"/>
          <w:szCs w:val="32"/>
          <w:lang w:val="en-US" w:eastAsia="zh-CN" w:bidi="ar-SA"/>
        </w:rPr>
        <w:t>委托有资质单位清运处置</w:t>
      </w:r>
      <w:r>
        <w:rPr>
          <w:rFonts w:hint="eastAsia" w:cs="Times New Roman"/>
          <w:color w:val="auto"/>
          <w:kern w:val="2"/>
          <w:sz w:val="32"/>
          <w:szCs w:val="32"/>
          <w:lang w:val="en-US" w:eastAsia="zh-CN" w:bidi="ar-SA"/>
        </w:rPr>
        <w:t>。</w:t>
      </w:r>
    </w:p>
    <w:p>
      <w:pPr>
        <w:keepNext w:val="0"/>
        <w:keepLines w:val="0"/>
        <w:pageBreakBefore w:val="0"/>
        <w:kinsoku/>
        <w:wordWrap/>
        <w:overflowPunct/>
        <w:topLinePunct w:val="0"/>
        <w:autoSpaceDE/>
        <w:autoSpaceDN/>
        <w:bidi w:val="0"/>
        <w:spacing w:line="580" w:lineRule="exact"/>
        <w:ind w:firstLine="480"/>
        <w:textAlignment w:val="auto"/>
        <w:rPr>
          <w:rFonts w:hint="default" w:eastAsia="仿宋_GB2312"/>
          <w:lang w:val="en-US" w:eastAsia="zh-CN"/>
        </w:rPr>
      </w:pPr>
      <w:r>
        <w:rPr>
          <w:rFonts w:hint="default" w:ascii="Times New Roman" w:hAnsi="Times New Roman" w:eastAsia="仿宋_GB2312" w:cs="Times New Roman"/>
          <w:b w:val="0"/>
          <w:bCs w:val="0"/>
          <w:color w:val="000000" w:themeColor="text1"/>
          <w:kern w:val="0"/>
          <w:sz w:val="32"/>
          <w:szCs w:val="32"/>
          <w:highlight w:val="none"/>
          <w:lang w:val="en-US" w:eastAsia="zh-CN"/>
          <w14:textFill>
            <w14:solidFill>
              <w14:schemeClr w14:val="tx1"/>
            </w14:solidFill>
          </w14:textFill>
        </w:rPr>
        <w:t>（三）严格落实</w:t>
      </w:r>
      <w:r>
        <w:rPr>
          <w:rFonts w:hint="eastAsia" w:cs="Times New Roman"/>
          <w:b w:val="0"/>
          <w:bCs w:val="0"/>
          <w:color w:val="000000" w:themeColor="text1"/>
          <w:kern w:val="0"/>
          <w:sz w:val="32"/>
          <w:szCs w:val="32"/>
          <w:highlight w:val="none"/>
          <w:lang w:val="en-US" w:eastAsia="zh-CN"/>
          <w14:textFill>
            <w14:solidFill>
              <w14:schemeClr w14:val="tx1"/>
            </w14:solidFill>
          </w14:textFill>
        </w:rPr>
        <w:t>大气环境、固体废物和噪声污染控制措施</w:t>
      </w:r>
      <w:r>
        <w:rPr>
          <w:rFonts w:hint="default" w:ascii="Times New Roman" w:hAnsi="Times New Roman" w:eastAsia="仿宋_GB2312" w:cs="Times New Roman"/>
          <w:b w:val="0"/>
          <w:bCs w:val="0"/>
          <w:color w:val="000000" w:themeColor="text1"/>
          <w:kern w:val="0"/>
          <w:sz w:val="32"/>
          <w:szCs w:val="32"/>
          <w:highlight w:val="none"/>
          <w:lang w:val="en-US" w:eastAsia="zh-CN"/>
          <w14:textFill>
            <w14:solidFill>
              <w14:schemeClr w14:val="tx1"/>
            </w14:solidFill>
          </w14:textFill>
        </w:rPr>
        <w:t>。</w:t>
      </w:r>
      <w:r>
        <w:rPr>
          <w:rFonts w:hint="eastAsia" w:cs="Times New Roman"/>
          <w:b w:val="0"/>
          <w:bCs w:val="0"/>
          <w:color w:val="000000" w:themeColor="text1"/>
          <w:kern w:val="0"/>
          <w:sz w:val="32"/>
          <w:szCs w:val="32"/>
          <w:highlight w:val="none"/>
          <w:lang w:val="en-US" w:eastAsia="zh-CN"/>
          <w14:textFill>
            <w14:solidFill>
              <w14:schemeClr w14:val="tx1"/>
            </w14:solidFill>
          </w14:textFill>
        </w:rPr>
        <w:t>文明施工，做好扬尘污染防治工作，工程沿线设置围挡，</w:t>
      </w:r>
      <w:r>
        <w:rPr>
          <w:color w:val="000000" w:themeColor="text1"/>
          <w14:textFill>
            <w14:solidFill>
              <w14:schemeClr w14:val="tx1"/>
            </w14:solidFill>
          </w14:textFill>
        </w:rPr>
        <w:t>采取覆盖、分段作业、择时施工</w:t>
      </w:r>
      <w:r>
        <w:rPr>
          <w:rFonts w:hint="eastAsia" w:ascii="Times New Roman" w:hAnsi="Times New Roman" w:eastAsia="仿宋_GB2312" w:cs="Times New Roman"/>
          <w:color w:val="auto"/>
          <w:kern w:val="2"/>
          <w:sz w:val="32"/>
          <w:szCs w:val="32"/>
          <w:lang w:val="en-US" w:eastAsia="zh-CN" w:bidi="ar-SA"/>
        </w:rPr>
        <w:t>、洒水抑尘、冲洗地面和车辆等有效防尘降尘措施。建筑土方、工程渣土、建筑垃圾及时清运；在场地内堆存的，采用密闭式防尘网遮盖。废弃泥浆运至合规的余泥渣土场，废焊条和废弃防腐材料等收集后交相关回收单位处理。严格控制施工工作时间，尽量选用低噪声或带有隔声消声装置的施工机械设备，合理布置施工现场，对高噪声源采取隔声、减振等综合降噪措施。</w:t>
      </w:r>
      <w:r>
        <w:rPr>
          <w:rFonts w:hint="eastAsia" w:cs="Times New Roman"/>
          <w:color w:val="auto"/>
          <w:kern w:val="2"/>
          <w:sz w:val="32"/>
          <w:szCs w:val="32"/>
          <w:lang w:val="en-US" w:eastAsia="zh-CN" w:bidi="ar-SA"/>
        </w:rPr>
        <w:t>营运期</w:t>
      </w:r>
      <w:r>
        <w:rPr>
          <w:rFonts w:hint="eastAsia" w:ascii="Times New Roman" w:hAnsi="Times New Roman" w:eastAsia="仿宋_GB2312" w:cs="Times New Roman"/>
          <w:color w:val="auto"/>
          <w:kern w:val="2"/>
          <w:sz w:val="32"/>
          <w:szCs w:val="32"/>
          <w:lang w:val="en-US" w:eastAsia="zh-CN" w:bidi="ar-SA"/>
        </w:rPr>
        <w:t xml:space="preserve">接收工艺装置区厂区内 </w:t>
      </w:r>
      <w:r>
        <w:rPr>
          <w:rFonts w:hint="default" w:ascii="Times New Roman" w:hAnsi="Times New Roman" w:eastAsia="仿宋_GB2312" w:cs="Times New Roman"/>
          <w:color w:val="auto"/>
          <w:kern w:val="2"/>
          <w:sz w:val="32"/>
          <w:szCs w:val="32"/>
          <w:lang w:val="en-US" w:eastAsia="zh-CN" w:bidi="ar-SA"/>
        </w:rPr>
        <w:t>VOCs</w:t>
      </w:r>
      <w:r>
        <w:rPr>
          <w:rFonts w:hint="eastAsia" w:ascii="Times New Roman" w:hAnsi="Times New Roman" w:eastAsia="仿宋_GB2312" w:cs="Times New Roman"/>
          <w:color w:val="auto"/>
          <w:kern w:val="2"/>
          <w:sz w:val="32"/>
          <w:szCs w:val="32"/>
          <w:lang w:val="en-US" w:eastAsia="zh-CN" w:bidi="ar-SA"/>
        </w:rPr>
        <w:t>无组织排放监控点浓度执行《固定污染源挥发性有机物综合排放标准》（</w:t>
      </w:r>
      <w:r>
        <w:rPr>
          <w:rFonts w:hint="default" w:ascii="Times New Roman" w:hAnsi="Times New Roman" w:eastAsia="仿宋_GB2312" w:cs="Times New Roman"/>
          <w:color w:val="auto"/>
          <w:kern w:val="2"/>
          <w:sz w:val="32"/>
          <w:szCs w:val="32"/>
          <w:lang w:val="en-US" w:eastAsia="zh-CN" w:bidi="ar-SA"/>
        </w:rPr>
        <w:t>DB44/2367- 2022</w:t>
      </w:r>
      <w:r>
        <w:rPr>
          <w:rFonts w:hint="eastAsia" w:ascii="Times New Roman" w:hAnsi="Times New Roman" w:eastAsia="仿宋_GB2312" w:cs="Times New Roman"/>
          <w:color w:val="auto"/>
          <w:kern w:val="2"/>
          <w:sz w:val="32"/>
          <w:szCs w:val="32"/>
          <w:lang w:val="en-US" w:eastAsia="zh-CN" w:bidi="ar-SA"/>
        </w:rPr>
        <w:t>）表</w:t>
      </w:r>
      <w:r>
        <w:rPr>
          <w:rFonts w:hint="default" w:ascii="Times New Roman" w:hAnsi="Times New Roman" w:eastAsia="仿宋_GB2312" w:cs="Times New Roman"/>
          <w:color w:val="auto"/>
          <w:kern w:val="2"/>
          <w:sz w:val="32"/>
          <w:szCs w:val="32"/>
          <w:lang w:val="en-US" w:eastAsia="zh-CN" w:bidi="ar-SA"/>
        </w:rPr>
        <w:t>3</w:t>
      </w:r>
      <w:r>
        <w:rPr>
          <w:rFonts w:hint="eastAsia" w:ascii="Times New Roman" w:hAnsi="Times New Roman" w:eastAsia="仿宋_GB2312" w:cs="Times New Roman"/>
          <w:color w:val="auto"/>
          <w:kern w:val="2"/>
          <w:sz w:val="32"/>
          <w:szCs w:val="32"/>
          <w:lang w:val="en-US" w:eastAsia="zh-CN" w:bidi="ar-SA"/>
        </w:rPr>
        <w:t>限值</w:t>
      </w:r>
      <w:r>
        <w:rPr>
          <w:rFonts w:hint="eastAsia" w:cs="Times New Roman"/>
          <w:color w:val="auto"/>
          <w:kern w:val="2"/>
          <w:sz w:val="32"/>
          <w:szCs w:val="32"/>
          <w:lang w:val="en-US" w:eastAsia="zh-CN" w:bidi="ar-SA"/>
        </w:rPr>
        <w:t>，</w:t>
      </w:r>
      <w:r>
        <w:rPr>
          <w:rFonts w:hint="eastAsia" w:ascii="Times New Roman" w:hAnsi="Times New Roman" w:eastAsia="仿宋_GB2312" w:cs="Times New Roman"/>
          <w:color w:val="auto"/>
          <w:kern w:val="2"/>
          <w:sz w:val="32"/>
          <w:szCs w:val="32"/>
          <w:lang w:val="en-US" w:eastAsia="zh-CN" w:bidi="ar-SA"/>
        </w:rPr>
        <w:t>厂界非甲烷总烃执行《大气污染物排放限值》</w:t>
      </w:r>
      <w:r>
        <w:rPr>
          <w:rFonts w:hint="eastAsia"/>
          <w:lang w:val="en-US" w:eastAsia="zh-CN"/>
        </w:rPr>
        <w:t>（</w:t>
      </w:r>
      <w:r>
        <w:rPr>
          <w:rFonts w:hint="default"/>
          <w:lang w:val="en-US" w:eastAsia="zh-CN"/>
        </w:rPr>
        <w:t>DB44/27-2001</w:t>
      </w:r>
      <w:r>
        <w:rPr>
          <w:rFonts w:hint="eastAsia"/>
          <w:lang w:val="en-US" w:eastAsia="zh-CN"/>
        </w:rPr>
        <w:t>）第二时段无组织排放监控浓度限值，挥发性有机物排放量控制在0.017</w:t>
      </w:r>
      <w:r>
        <w:rPr>
          <w:rFonts w:hint="eastAsia" w:ascii="Times New Roman" w:hAnsi="Times New Roman" w:eastAsia="仿宋_GB2312" w:cs="Times New Roman"/>
          <w:color w:val="auto"/>
          <w:kern w:val="2"/>
          <w:sz w:val="32"/>
          <w:szCs w:val="32"/>
          <w:lang w:val="en-US" w:eastAsia="zh-CN" w:bidi="ar-SA"/>
        </w:rPr>
        <w:t>吨/年以内。妥善处置清管球作业、分离器检修产生的废渣。</w:t>
      </w:r>
      <w:r>
        <w:rPr>
          <w:rFonts w:hint="eastAsia" w:ascii="Times New Roman" w:hAnsi="Times New Roman" w:cs="Times New Roman"/>
          <w:b w:val="0"/>
          <w:bCs w:val="0"/>
          <w:color w:val="auto"/>
          <w:kern w:val="0"/>
          <w:sz w:val="32"/>
          <w:szCs w:val="32"/>
          <w:highlight w:val="none"/>
          <w:lang w:val="en-US" w:eastAsia="zh-CN"/>
        </w:rPr>
        <w:t>井封废水</w:t>
      </w:r>
      <w:r>
        <w:rPr>
          <w:rFonts w:hint="default" w:ascii="Times New Roman" w:hAnsi="Times New Roman" w:eastAsia="仿宋_GB2312" w:cs="Times New Roman"/>
          <w:b w:val="0"/>
          <w:bCs w:val="0"/>
          <w:color w:val="auto"/>
          <w:kern w:val="0"/>
          <w:sz w:val="32"/>
          <w:szCs w:val="32"/>
          <w:highlight w:val="none"/>
          <w:lang w:val="en-US" w:eastAsia="zh-CN"/>
        </w:rPr>
        <w:t>等列入《国家危险废物名录》的危险废物，其污染防治须严格执行国家和省危险废物管理的有关规定，建立管理台账，交相应有资质单位处理</w:t>
      </w:r>
      <w:r>
        <w:rPr>
          <w:rFonts w:hint="eastAsia" w:ascii="Times New Roman" w:hAnsi="Times New Roman" w:cs="Times New Roman"/>
          <w:b w:val="0"/>
          <w:bCs w:val="0"/>
          <w:color w:val="auto"/>
          <w:kern w:val="0"/>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right="0" w:rightChars="0" w:firstLine="616" w:firstLineChars="200"/>
        <w:jc w:val="both"/>
        <w:textAlignment w:val="auto"/>
        <w:outlineLvl w:val="9"/>
        <w:rPr>
          <w:rFonts w:hint="eastAsia" w:cs="Times New Roman"/>
          <w:b w:val="0"/>
          <w:bCs w:val="0"/>
          <w:color w:val="000000" w:themeColor="text1"/>
          <w:kern w:val="0"/>
          <w:sz w:val="32"/>
          <w:szCs w:val="32"/>
          <w:highlight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highlight w:val="none"/>
          <w:lang w:val="en-US" w:eastAsia="zh-CN"/>
          <w14:textFill>
            <w14:solidFill>
              <w14:schemeClr w14:val="tx1"/>
            </w14:solidFill>
          </w14:textFill>
        </w:rPr>
        <w:t>（四）</w:t>
      </w:r>
      <w:r>
        <w:rPr>
          <w:rFonts w:hint="eastAsia" w:cs="Times New Roman"/>
          <w:b w:val="0"/>
          <w:bCs w:val="0"/>
          <w:color w:val="000000" w:themeColor="text1"/>
          <w:kern w:val="0"/>
          <w:sz w:val="32"/>
          <w:szCs w:val="32"/>
          <w:highlight w:val="none"/>
          <w:lang w:val="en-US" w:eastAsia="zh-CN"/>
          <w14:textFill>
            <w14:solidFill>
              <w14:schemeClr w14:val="tx1"/>
            </w14:solidFill>
          </w14:textFill>
        </w:rPr>
        <w:t>加强环境风险防范，落实环境风险应急措施</w:t>
      </w:r>
      <w:r>
        <w:rPr>
          <w:rFonts w:hint="default" w:ascii="Times New Roman" w:hAnsi="Times New Roman" w:eastAsia="仿宋_GB2312" w:cs="Times New Roman"/>
          <w:b w:val="0"/>
          <w:bCs w:val="0"/>
          <w:color w:val="000000" w:themeColor="text1"/>
          <w:kern w:val="0"/>
          <w:sz w:val="32"/>
          <w:szCs w:val="32"/>
          <w:highlight w:val="none"/>
          <w:lang w:val="en-US" w:eastAsia="zh-CN"/>
          <w14:textFill>
            <w14:solidFill>
              <w14:schemeClr w14:val="tx1"/>
            </w14:solidFill>
          </w14:textFill>
        </w:rPr>
        <w:t>。</w:t>
      </w:r>
      <w:r>
        <w:rPr>
          <w:rFonts w:hint="eastAsia"/>
        </w:rPr>
        <w:t>采用严格的设计标准，设置先进的监控及数据采集系统、线路截断阀、可燃气体检测及报</w:t>
      </w:r>
      <w:r>
        <w:rPr>
          <w:rFonts w:hint="eastAsia"/>
          <w:sz w:val="32"/>
          <w:szCs w:val="32"/>
        </w:rPr>
        <w:t>警系统、露天工艺区气体检测仪，做好管道维护等风险防范措施</w:t>
      </w:r>
      <w:r>
        <w:rPr>
          <w:rFonts w:hint="eastAsia"/>
          <w:sz w:val="32"/>
          <w:szCs w:val="32"/>
          <w:lang w:eastAsia="zh-CN"/>
        </w:rPr>
        <w:t>。</w:t>
      </w:r>
      <w:r>
        <w:rPr>
          <w:rFonts w:hint="eastAsia" w:cs="Times New Roman"/>
          <w:b w:val="0"/>
          <w:bCs w:val="0"/>
          <w:color w:val="000000" w:themeColor="text1"/>
          <w:kern w:val="0"/>
          <w:sz w:val="32"/>
          <w:szCs w:val="32"/>
          <w:highlight w:val="none"/>
          <w:lang w:val="en-US" w:eastAsia="zh-CN"/>
          <w14:textFill>
            <w14:solidFill>
              <w14:schemeClr w14:val="tx1"/>
            </w14:solidFill>
          </w14:textFill>
        </w:rPr>
        <w:t>全线建立维护保养、定期检测和巡线检查制度，在环境敏感区段提高巡线频率，增设线路警示牌。制定完善的环境风险应急预案，加强与当地政府的应急联动，定期开展演练，确保生态环境安全。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right="0" w:rightChars="0"/>
        <w:jc w:val="both"/>
        <w:textAlignment w:val="auto"/>
        <w:outlineLvl w:val="9"/>
        <w:rPr>
          <w:rFonts w:hint="default" w:cs="Times New Roman"/>
          <w:b w:val="0"/>
          <w:bCs w:val="0"/>
          <w:color w:val="000000" w:themeColor="text1"/>
          <w:kern w:val="0"/>
          <w:sz w:val="32"/>
          <w:szCs w:val="32"/>
          <w:highlight w:val="none"/>
          <w:lang w:val="en-US" w:eastAsia="zh-CN"/>
          <w14:textFill>
            <w14:solidFill>
              <w14:schemeClr w14:val="tx1"/>
            </w14:solidFill>
          </w14:textFill>
        </w:rPr>
      </w:pPr>
      <w:r>
        <w:rPr>
          <w:rFonts w:hint="eastAsia" w:cs="Times New Roman"/>
          <w:b w:val="0"/>
          <w:bCs w:val="0"/>
          <w:color w:val="000000" w:themeColor="text1"/>
          <w:kern w:val="0"/>
          <w:sz w:val="32"/>
          <w:szCs w:val="32"/>
          <w:highlight w:val="none"/>
          <w:lang w:val="en-US" w:eastAsia="zh-CN"/>
          <w14:textFill>
            <w14:solidFill>
              <w14:schemeClr w14:val="tx1"/>
            </w14:solidFill>
          </w14:textFill>
        </w:rPr>
        <w:t xml:space="preserve">    （五）严格执行报告书提出的环境监理要求和环境监测计划，确保各项生态环境保护措施落实到位。</w:t>
      </w:r>
    </w:p>
    <w:p>
      <w:pPr>
        <w:keepNext w:val="0"/>
        <w:keepLines w:val="0"/>
        <w:pageBreakBefore w:val="0"/>
        <w:widowControl/>
        <w:suppressLineNumbers w:val="0"/>
        <w:kinsoku/>
        <w:wordWrap/>
        <w:overflowPunct/>
        <w:topLinePunct w:val="0"/>
        <w:autoSpaceDE/>
        <w:autoSpaceDN/>
        <w:bidi w:val="0"/>
        <w:spacing w:line="580" w:lineRule="exact"/>
        <w:ind w:firstLine="616" w:firstLineChars="200"/>
        <w:jc w:val="both"/>
        <w:textAlignment w:val="auto"/>
        <w:rPr>
          <w:color w:val="000000" w:themeColor="text1"/>
          <w:sz w:val="32"/>
          <w:szCs w:val="32"/>
          <w14:textFill>
            <w14:solidFill>
              <w14:schemeClr w14:val="tx1"/>
            </w14:solidFill>
          </w14:textFill>
        </w:rPr>
      </w:pPr>
      <w:r>
        <w:rPr>
          <w:rFonts w:hint="eastAsia"/>
          <w:color w:val="000000" w:themeColor="text1"/>
          <w:sz w:val="32"/>
          <w:szCs w:val="32"/>
          <w14:textFill>
            <w14:solidFill>
              <w14:schemeClr w14:val="tx1"/>
            </w14:solidFill>
          </w14:textFill>
        </w:rPr>
        <w:t>（</w:t>
      </w:r>
      <w:r>
        <w:rPr>
          <w:rFonts w:hint="eastAsia"/>
          <w:color w:val="000000" w:themeColor="text1"/>
          <w:sz w:val="32"/>
          <w:szCs w:val="32"/>
          <w:lang w:val="en-US" w:eastAsia="zh-CN"/>
          <w14:textFill>
            <w14:solidFill>
              <w14:schemeClr w14:val="tx1"/>
            </w14:solidFill>
          </w14:textFill>
        </w:rPr>
        <w:t>六</w:t>
      </w:r>
      <w:r>
        <w:rPr>
          <w:rFonts w:hint="eastAsia"/>
          <w:color w:val="000000" w:themeColor="text1"/>
          <w:sz w:val="32"/>
          <w:szCs w:val="32"/>
          <w14:textFill>
            <w14:solidFill>
              <w14:schemeClr w14:val="tx1"/>
            </w14:solidFill>
          </w14:textFill>
        </w:rPr>
        <w:t>）</w:t>
      </w:r>
      <w:r>
        <w:rPr>
          <w:color w:val="000000" w:themeColor="text1"/>
          <w:sz w:val="32"/>
          <w:szCs w:val="32"/>
          <w14:textFill>
            <w14:solidFill>
              <w14:schemeClr w14:val="tx1"/>
            </w14:solidFill>
          </w14:textFill>
        </w:rPr>
        <w:t>在项目</w:t>
      </w:r>
      <w:r>
        <w:rPr>
          <w:rFonts w:hint="eastAsia"/>
          <w:color w:val="000000" w:themeColor="text1"/>
          <w:sz w:val="32"/>
          <w:szCs w:val="32"/>
          <w14:textFill>
            <w14:solidFill>
              <w14:schemeClr w14:val="tx1"/>
            </w14:solidFill>
          </w14:textFill>
        </w:rPr>
        <w:t>建设和</w:t>
      </w:r>
      <w:r>
        <w:rPr>
          <w:color w:val="000000" w:themeColor="text1"/>
          <w:sz w:val="32"/>
          <w:szCs w:val="32"/>
          <w14:textFill>
            <w14:solidFill>
              <w14:schemeClr w14:val="tx1"/>
            </w14:solidFill>
          </w14:textFill>
        </w:rPr>
        <w:t>运营过程中，建立畅通</w:t>
      </w:r>
      <w:r>
        <w:rPr>
          <w:rFonts w:hint="eastAsia"/>
          <w:color w:val="000000" w:themeColor="text1"/>
          <w:sz w:val="32"/>
          <w:szCs w:val="32"/>
          <w:lang w:val="en-US" w:eastAsia="zh-CN"/>
          <w14:textFill>
            <w14:solidFill>
              <w14:schemeClr w14:val="tx1"/>
            </w14:solidFill>
          </w14:textFill>
        </w:rPr>
        <w:t>的</w:t>
      </w:r>
      <w:r>
        <w:rPr>
          <w:rFonts w:hint="eastAsia"/>
          <w:color w:val="000000" w:themeColor="text1"/>
          <w:sz w:val="32"/>
          <w:szCs w:val="32"/>
          <w:lang w:eastAsia="zh-CN"/>
          <w14:textFill>
            <w14:solidFill>
              <w14:schemeClr w14:val="tx1"/>
            </w14:solidFill>
          </w14:textFill>
        </w:rPr>
        <w:t>公众参与</w:t>
      </w:r>
      <w:r>
        <w:rPr>
          <w:color w:val="000000" w:themeColor="text1"/>
          <w:sz w:val="32"/>
          <w:szCs w:val="32"/>
          <w14:textFill>
            <w14:solidFill>
              <w14:schemeClr w14:val="tx1"/>
            </w14:solidFill>
          </w14:textFill>
        </w:rPr>
        <w:t>渠道</w:t>
      </w:r>
      <w:r>
        <w:rPr>
          <w:rFonts w:hint="eastAsia" w:ascii="Times New Roman" w:hAnsi="Times New Roman" w:cs="Times New Roman"/>
          <w:b w:val="0"/>
          <w:bCs w:val="0"/>
          <w:color w:val="000000" w:themeColor="text1"/>
          <w:kern w:val="0"/>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自觉接受社会监督，及时解决公众合理的生态环境诉求</w:t>
      </w:r>
      <w:r>
        <w:rPr>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snapToGrid/>
        <w:spacing w:line="580" w:lineRule="exact"/>
        <w:ind w:firstLine="616" w:firstLineChars="200"/>
        <w:jc w:val="both"/>
        <w:textAlignment w:val="auto"/>
        <w:rPr>
          <w:color w:val="auto"/>
          <w:sz w:val="32"/>
          <w:szCs w:val="32"/>
        </w:rPr>
      </w:pPr>
      <w:r>
        <w:rPr>
          <w:color w:val="auto"/>
          <w:sz w:val="32"/>
          <w:szCs w:val="32"/>
        </w:rPr>
        <w:t>三、项目环保投资应纳入工程投资概算并予以落实。</w:t>
      </w:r>
    </w:p>
    <w:p>
      <w:pPr>
        <w:keepNext w:val="0"/>
        <w:keepLines w:val="0"/>
        <w:pageBreakBefore w:val="0"/>
        <w:widowControl w:val="0"/>
        <w:kinsoku/>
        <w:wordWrap/>
        <w:overflowPunct/>
        <w:topLinePunct w:val="0"/>
        <w:autoSpaceDE/>
        <w:autoSpaceDN/>
        <w:bidi w:val="0"/>
        <w:snapToGrid/>
        <w:spacing w:line="580" w:lineRule="exact"/>
        <w:ind w:firstLine="616" w:firstLineChars="200"/>
        <w:jc w:val="both"/>
        <w:textAlignment w:val="auto"/>
        <w:rPr>
          <w:color w:val="auto"/>
          <w:sz w:val="32"/>
          <w:szCs w:val="32"/>
        </w:rPr>
      </w:pPr>
      <w:r>
        <w:rPr>
          <w:color w:val="auto"/>
          <w:sz w:val="32"/>
          <w:szCs w:val="32"/>
        </w:rPr>
        <w:t>四、报告</w:t>
      </w:r>
      <w:r>
        <w:rPr>
          <w:rFonts w:hint="eastAsia"/>
          <w:color w:val="auto"/>
          <w:sz w:val="32"/>
          <w:szCs w:val="32"/>
          <w:lang w:val="en-US" w:eastAsia="zh-CN"/>
        </w:rPr>
        <w:t>书</w:t>
      </w:r>
      <w:r>
        <w:rPr>
          <w:color w:val="auto"/>
          <w:sz w:val="32"/>
          <w:szCs w:val="32"/>
        </w:rPr>
        <w:t>经批准后，项目的性质、规模、地点、采用的生产工艺或者防治污染、防止生态破坏的措施发生重大变动的，建设单位应当重新报批建设项目的环境影响评价文件。</w:t>
      </w:r>
    </w:p>
    <w:p>
      <w:pPr>
        <w:keepNext w:val="0"/>
        <w:keepLines w:val="0"/>
        <w:pageBreakBefore w:val="0"/>
        <w:widowControl/>
        <w:suppressLineNumbers w:val="0"/>
        <w:kinsoku/>
        <w:wordWrap/>
        <w:overflowPunct/>
        <w:topLinePunct w:val="0"/>
        <w:autoSpaceDE/>
        <w:autoSpaceDN/>
        <w:bidi w:val="0"/>
        <w:spacing w:line="580" w:lineRule="exact"/>
        <w:ind w:firstLine="616" w:firstLineChars="200"/>
        <w:jc w:val="both"/>
        <w:textAlignment w:val="auto"/>
        <w:rPr>
          <w:color w:val="auto"/>
          <w:sz w:val="32"/>
          <w:szCs w:val="32"/>
        </w:rPr>
      </w:pPr>
      <w:r>
        <w:rPr>
          <w:rFonts w:hint="eastAsia"/>
          <w:color w:val="auto"/>
          <w:sz w:val="32"/>
          <w:szCs w:val="32"/>
        </w:rPr>
        <w:t>五、</w:t>
      </w:r>
      <w:r>
        <w:rPr>
          <w:rFonts w:hint="eastAsia" w:ascii="仿宋_GB2312" w:hAnsi="仿宋_GB2312" w:eastAsia="仿宋_GB2312" w:cs="仿宋_GB2312"/>
          <w:color w:val="auto"/>
          <w:kern w:val="0"/>
          <w:sz w:val="32"/>
          <w:szCs w:val="32"/>
          <w:lang w:val="en-US" w:eastAsia="zh-CN" w:bidi="ar"/>
        </w:rPr>
        <w:t>你公司应落实生态环境保护主体责任，加强生态环境管理，推进各项生态环境保护措施落实。项目建设必须严格执行环境保护设施与主体工程同时设计、同时施工、同时投产使用的环境保护“三同时”制度</w:t>
      </w:r>
      <w:r>
        <w:rPr>
          <w:color w:val="auto"/>
          <w:sz w:val="32"/>
          <w:szCs w:val="32"/>
        </w:rPr>
        <w:t>。</w:t>
      </w:r>
      <w:r>
        <w:rPr>
          <w:rFonts w:hint="eastAsia"/>
          <w:color w:val="auto"/>
          <w:sz w:val="32"/>
          <w:szCs w:val="32"/>
        </w:rPr>
        <w:t>项目建成后，应按规定程序实施竣工环境保护验收。</w:t>
      </w:r>
    </w:p>
    <w:p>
      <w:pPr>
        <w:keepNext w:val="0"/>
        <w:keepLines w:val="0"/>
        <w:pageBreakBefore w:val="0"/>
        <w:widowControl w:val="0"/>
        <w:numPr>
          <w:ilvl w:val="0"/>
          <w:numId w:val="1"/>
        </w:numPr>
        <w:kinsoku/>
        <w:wordWrap/>
        <w:overflowPunct/>
        <w:topLinePunct w:val="0"/>
        <w:autoSpaceDE/>
        <w:autoSpaceDN/>
        <w:bidi w:val="0"/>
        <w:snapToGrid/>
        <w:spacing w:line="580" w:lineRule="exact"/>
        <w:ind w:firstLine="616" w:firstLineChars="200"/>
        <w:jc w:val="both"/>
        <w:textAlignment w:val="auto"/>
        <w:rPr>
          <w:color w:val="auto"/>
          <w:szCs w:val="32"/>
        </w:rPr>
      </w:pPr>
      <w:r>
        <w:rPr>
          <w:rFonts w:hint="eastAsia" w:ascii="Times New Roman" w:hAnsi="Times New Roman" w:cs="Times New Roman"/>
          <w:color w:val="auto"/>
          <w:sz w:val="32"/>
          <w:szCs w:val="32"/>
        </w:rPr>
        <w:t>请惠州</w:t>
      </w:r>
      <w:r>
        <w:rPr>
          <w:color w:val="auto"/>
          <w:sz w:val="32"/>
          <w:szCs w:val="32"/>
        </w:rPr>
        <w:t>市生态环境</w:t>
      </w:r>
      <w:r>
        <w:rPr>
          <w:rFonts w:hint="eastAsia"/>
          <w:color w:val="auto"/>
          <w:sz w:val="32"/>
          <w:szCs w:val="32"/>
        </w:rPr>
        <w:t>局</w:t>
      </w:r>
      <w:r>
        <w:rPr>
          <w:rFonts w:hint="eastAsia"/>
          <w:color w:val="auto"/>
          <w:sz w:val="32"/>
          <w:szCs w:val="32"/>
          <w:lang w:val="en-US" w:eastAsia="zh-CN"/>
        </w:rPr>
        <w:t>大亚湾</w:t>
      </w:r>
      <w:r>
        <w:rPr>
          <w:color w:val="auto"/>
          <w:sz w:val="32"/>
          <w:szCs w:val="32"/>
        </w:rPr>
        <w:t>分局严格落实事中事后属地监管责任</w:t>
      </w:r>
      <w:r>
        <w:rPr>
          <w:rFonts w:hint="eastAsia"/>
          <w:color w:val="auto"/>
          <w:sz w:val="32"/>
          <w:szCs w:val="32"/>
        </w:rPr>
        <w:t>，</w:t>
      </w:r>
      <w:r>
        <w:rPr>
          <w:color w:val="auto"/>
          <w:sz w:val="32"/>
          <w:szCs w:val="32"/>
        </w:rPr>
        <w:t>按照生态环境部《关于进一步完善建设项目环境保护</w:t>
      </w:r>
      <w:r>
        <w:rPr>
          <w:rFonts w:hint="eastAsia"/>
          <w:color w:val="auto"/>
          <w:sz w:val="32"/>
          <w:szCs w:val="32"/>
        </w:rPr>
        <w:t>“</w:t>
      </w:r>
      <w:r>
        <w:rPr>
          <w:color w:val="auto"/>
          <w:sz w:val="32"/>
          <w:szCs w:val="32"/>
        </w:rPr>
        <w:t>三同时</w:t>
      </w:r>
      <w:r>
        <w:rPr>
          <w:rFonts w:hint="eastAsia"/>
          <w:color w:val="auto"/>
          <w:sz w:val="32"/>
          <w:szCs w:val="32"/>
        </w:rPr>
        <w:t>”</w:t>
      </w:r>
      <w:r>
        <w:rPr>
          <w:color w:val="auto"/>
          <w:sz w:val="32"/>
          <w:szCs w:val="32"/>
        </w:rPr>
        <w:t>及竣工环境保护自主验收监管工作机制的意见》</w:t>
      </w:r>
      <w:r>
        <w:rPr>
          <w:rFonts w:hint="eastAsia"/>
          <w:color w:val="auto"/>
          <w:sz w:val="32"/>
          <w:szCs w:val="32"/>
        </w:rPr>
        <w:t>（</w:t>
      </w:r>
      <w:r>
        <w:rPr>
          <w:color w:val="auto"/>
          <w:sz w:val="32"/>
          <w:szCs w:val="32"/>
        </w:rPr>
        <w:t>环</w:t>
      </w:r>
      <w:r>
        <w:rPr>
          <w:color w:val="auto"/>
          <w:szCs w:val="32"/>
        </w:rPr>
        <w:t>执法</w:t>
      </w:r>
      <w:r>
        <w:rPr>
          <w:color w:val="auto"/>
        </w:rPr>
        <w:t>〔202</w:t>
      </w:r>
      <w:r>
        <w:rPr>
          <w:rFonts w:hint="eastAsia"/>
          <w:color w:val="auto"/>
          <w:lang w:val="en-US" w:eastAsia="zh-CN"/>
        </w:rPr>
        <w:t>1</w:t>
      </w:r>
      <w:r>
        <w:rPr>
          <w:color w:val="auto"/>
        </w:rPr>
        <w:t>〕</w:t>
      </w:r>
      <w:r>
        <w:rPr>
          <w:color w:val="auto"/>
          <w:szCs w:val="32"/>
        </w:rPr>
        <w:t>70号）要求，加强对该项目环境保护</w:t>
      </w:r>
      <w:r>
        <w:rPr>
          <w:rFonts w:hint="eastAsia"/>
          <w:color w:val="auto"/>
          <w:szCs w:val="32"/>
        </w:rPr>
        <w:t>“</w:t>
      </w:r>
      <w:r>
        <w:rPr>
          <w:color w:val="auto"/>
          <w:szCs w:val="32"/>
        </w:rPr>
        <w:t>三同时</w:t>
      </w:r>
      <w:r>
        <w:rPr>
          <w:rFonts w:hint="eastAsia"/>
          <w:color w:val="auto"/>
          <w:szCs w:val="32"/>
        </w:rPr>
        <w:t>”</w:t>
      </w:r>
      <w:r>
        <w:rPr>
          <w:color w:val="auto"/>
          <w:szCs w:val="32"/>
        </w:rPr>
        <w:t>及自主验收监管。</w:t>
      </w:r>
    </w:p>
    <w:p>
      <w:pPr>
        <w:keepNext w:val="0"/>
        <w:keepLines w:val="0"/>
        <w:pageBreakBefore w:val="0"/>
        <w:widowControl w:val="0"/>
        <w:numPr>
          <w:ilvl w:val="0"/>
          <w:numId w:val="0"/>
        </w:numPr>
        <w:kinsoku/>
        <w:wordWrap/>
        <w:overflowPunct/>
        <w:topLinePunct w:val="0"/>
        <w:autoSpaceDE/>
        <w:autoSpaceDN/>
        <w:bidi w:val="0"/>
        <w:snapToGrid/>
        <w:spacing w:line="580" w:lineRule="exact"/>
        <w:ind w:firstLine="616" w:firstLineChars="200"/>
        <w:jc w:val="both"/>
        <w:textAlignment w:val="auto"/>
        <w:rPr>
          <w:color w:val="auto"/>
        </w:rPr>
      </w:pPr>
      <w:r>
        <w:rPr>
          <w:color w:val="auto"/>
          <w:szCs w:val="32"/>
        </w:rPr>
        <w:t>你公司应在收到本批复后20个工作日内，将批准后的环境影响报告</w:t>
      </w:r>
      <w:r>
        <w:rPr>
          <w:rFonts w:hint="eastAsia"/>
          <w:color w:val="auto"/>
          <w:szCs w:val="32"/>
          <w:lang w:val="en-US" w:eastAsia="zh-CN"/>
        </w:rPr>
        <w:t>书</w:t>
      </w:r>
      <w:r>
        <w:rPr>
          <w:color w:val="auto"/>
          <w:szCs w:val="32"/>
        </w:rPr>
        <w:t>送至惠州市生态环境局</w:t>
      </w:r>
      <w:r>
        <w:rPr>
          <w:rFonts w:hint="eastAsia"/>
          <w:color w:val="auto"/>
          <w:szCs w:val="32"/>
          <w:lang w:val="en-US" w:eastAsia="zh-CN"/>
        </w:rPr>
        <w:t>大亚湾</w:t>
      </w:r>
      <w:r>
        <w:rPr>
          <w:color w:val="auto"/>
          <w:szCs w:val="32"/>
        </w:rPr>
        <w:t>分局，按规定接受</w:t>
      </w:r>
      <w:r>
        <w:rPr>
          <w:rFonts w:hint="eastAsia"/>
          <w:color w:val="auto"/>
          <w:szCs w:val="32"/>
        </w:rPr>
        <w:t>各级</w:t>
      </w:r>
      <w:r>
        <w:rPr>
          <w:color w:val="auto"/>
          <w:szCs w:val="32"/>
        </w:rPr>
        <w:t>生态环境部门日常监督检查</w:t>
      </w:r>
      <w:r>
        <w:rPr>
          <w:rFonts w:hint="eastAsia"/>
          <w:color w:val="auto"/>
          <w:szCs w:val="32"/>
        </w:rPr>
        <w:t>。</w:t>
      </w:r>
      <w:r>
        <w:rPr>
          <w:color w:val="auto"/>
          <w:szCs w:val="32"/>
        </w:rPr>
        <w:t xml:space="preserve">  </w:t>
      </w:r>
    </w:p>
    <w:p>
      <w:pPr>
        <w:pStyle w:val="89"/>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18" w:firstLineChars="0"/>
        <w:jc w:val="both"/>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 xml:space="preserve">                        </w:t>
      </w:r>
    </w:p>
    <w:p>
      <w:pPr>
        <w:pStyle w:val="89"/>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18" w:firstLineChars="0"/>
        <w:jc w:val="both"/>
        <w:textAlignment w:val="auto"/>
        <w:outlineLvl w:val="9"/>
        <w:rPr>
          <w:rFonts w:hint="default" w:ascii="Times New Roman" w:hAnsi="Times New Roman" w:eastAsia="仿宋_GB2312" w:cs="Times New Roman"/>
          <w:color w:val="auto"/>
          <w:szCs w:val="32"/>
        </w:rPr>
      </w:pPr>
    </w:p>
    <w:p>
      <w:pPr>
        <w:pStyle w:val="89"/>
        <w:keepNext w:val="0"/>
        <w:keepLines w:val="0"/>
        <w:pageBreakBefore w:val="0"/>
        <w:widowControl w:val="0"/>
        <w:kinsoku/>
        <w:wordWrap/>
        <w:overflowPunct/>
        <w:topLinePunct w:val="0"/>
        <w:autoSpaceDE/>
        <w:autoSpaceDN/>
        <w:bidi w:val="0"/>
        <w:adjustRightInd/>
        <w:snapToGrid w:val="0"/>
        <w:spacing w:line="580" w:lineRule="exact"/>
        <w:ind w:right="0" w:rightChars="0" w:firstLine="4312" w:firstLineChars="1400"/>
        <w:jc w:val="both"/>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 xml:space="preserve"> </w:t>
      </w:r>
      <w:r>
        <w:rPr>
          <w:rFonts w:hint="default" w:ascii="Times New Roman" w:hAnsi="Times New Roman" w:eastAsia="仿宋_GB2312" w:cs="Times New Roman"/>
          <w:color w:val="auto"/>
          <w:szCs w:val="32"/>
          <w:lang w:val="en-US" w:eastAsia="zh-CN"/>
        </w:rPr>
        <w:t xml:space="preserve"> </w:t>
      </w:r>
      <w:r>
        <w:rPr>
          <w:rFonts w:hint="eastAsia" w:cs="Times New Roman"/>
          <w:color w:val="auto"/>
          <w:szCs w:val="32"/>
          <w:lang w:val="en-US" w:eastAsia="zh-CN"/>
        </w:rPr>
        <w:t xml:space="preserve"> </w:t>
      </w:r>
      <w:r>
        <w:rPr>
          <w:rFonts w:hint="default" w:ascii="Times New Roman" w:hAnsi="Times New Roman" w:eastAsia="仿宋_GB2312" w:cs="Times New Roman"/>
          <w:color w:val="auto"/>
          <w:szCs w:val="32"/>
          <w:lang w:val="en-US" w:eastAsia="zh-CN"/>
        </w:rPr>
        <w:t xml:space="preserve"> </w:t>
      </w:r>
      <w:r>
        <w:rPr>
          <w:rFonts w:hint="default" w:ascii="Times New Roman" w:hAnsi="Times New Roman" w:eastAsia="仿宋_GB2312" w:cs="Times New Roman"/>
          <w:color w:val="auto"/>
          <w:szCs w:val="32"/>
        </w:rPr>
        <w:t>惠州市</w:t>
      </w:r>
      <w:r>
        <w:rPr>
          <w:rFonts w:hint="default" w:ascii="Times New Roman" w:hAnsi="Times New Roman" w:eastAsia="仿宋_GB2312" w:cs="Times New Roman"/>
          <w:color w:val="auto"/>
          <w:szCs w:val="32"/>
          <w:lang w:eastAsia="zh-CN"/>
        </w:rPr>
        <w:t>生态</w:t>
      </w:r>
      <w:r>
        <w:rPr>
          <w:rFonts w:hint="default" w:ascii="Times New Roman" w:hAnsi="Times New Roman" w:eastAsia="仿宋_GB2312" w:cs="Times New Roman"/>
          <w:color w:val="auto"/>
          <w:szCs w:val="32"/>
        </w:rPr>
        <w:t>环境局</w:t>
      </w:r>
    </w:p>
    <w:p>
      <w:pPr>
        <w:pStyle w:val="89"/>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18" w:firstLineChars="0"/>
        <w:jc w:val="both"/>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 xml:space="preserve">                       </w:t>
      </w:r>
      <w:r>
        <w:rPr>
          <w:rFonts w:hint="default" w:ascii="Times New Roman" w:hAnsi="Times New Roman" w:eastAsia="仿宋_GB2312" w:cs="Times New Roman"/>
          <w:color w:val="auto"/>
          <w:szCs w:val="32"/>
          <w:lang w:val="en-US" w:eastAsia="zh-CN"/>
        </w:rPr>
        <w:t xml:space="preserve"> </w:t>
      </w:r>
      <w:r>
        <w:rPr>
          <w:rFonts w:hint="default" w:ascii="Times New Roman" w:hAnsi="Times New Roman" w:eastAsia="仿宋_GB2312" w:cs="Times New Roman"/>
          <w:color w:val="auto"/>
          <w:szCs w:val="32"/>
        </w:rPr>
        <w:t xml:space="preserve"> </w:t>
      </w:r>
      <w:r>
        <w:rPr>
          <w:rFonts w:hint="default" w:ascii="Times New Roman" w:hAnsi="Times New Roman" w:eastAsia="仿宋_GB2312" w:cs="Times New Roman"/>
          <w:color w:val="auto"/>
          <w:szCs w:val="32"/>
          <w:lang w:val="en-US" w:eastAsia="zh-CN"/>
        </w:rPr>
        <w:t xml:space="preserve">  </w:t>
      </w:r>
      <w:r>
        <w:rPr>
          <w:rFonts w:hint="default" w:ascii="Times New Roman" w:hAnsi="Times New Roman" w:eastAsia="仿宋_GB2312" w:cs="Times New Roman"/>
          <w:color w:val="auto"/>
          <w:szCs w:val="32"/>
        </w:rPr>
        <w:t xml:space="preserve"> 20</w:t>
      </w:r>
      <w:r>
        <w:rPr>
          <w:rFonts w:hint="default" w:ascii="Times New Roman" w:hAnsi="Times New Roman" w:eastAsia="仿宋_GB2312" w:cs="Times New Roman"/>
          <w:color w:val="auto"/>
          <w:szCs w:val="32"/>
          <w:lang w:val="en-US" w:eastAsia="zh-CN"/>
        </w:rPr>
        <w:t>2</w:t>
      </w:r>
      <w:r>
        <w:rPr>
          <w:rFonts w:hint="eastAsia" w:cs="Times New Roman"/>
          <w:color w:val="auto"/>
          <w:szCs w:val="32"/>
          <w:lang w:val="en-US" w:eastAsia="zh-CN"/>
        </w:rPr>
        <w:t>3</w:t>
      </w:r>
      <w:r>
        <w:rPr>
          <w:rFonts w:hint="default" w:ascii="Times New Roman" w:hAnsi="Times New Roman" w:eastAsia="仿宋_GB2312" w:cs="Times New Roman"/>
          <w:color w:val="auto"/>
          <w:szCs w:val="32"/>
        </w:rPr>
        <w:t>年</w:t>
      </w:r>
      <w:r>
        <w:rPr>
          <w:rFonts w:hint="eastAsia" w:cs="Times New Roman"/>
          <w:color w:val="auto"/>
          <w:szCs w:val="32"/>
          <w:lang w:val="en-US" w:eastAsia="zh-CN"/>
        </w:rPr>
        <w:t>10</w:t>
      </w:r>
      <w:r>
        <w:rPr>
          <w:rFonts w:hint="default" w:ascii="Times New Roman" w:hAnsi="Times New Roman" w:eastAsia="仿宋_GB2312" w:cs="Times New Roman"/>
          <w:color w:val="auto"/>
          <w:szCs w:val="32"/>
        </w:rPr>
        <w:t>月</w:t>
      </w:r>
      <w:r>
        <w:rPr>
          <w:rFonts w:hint="eastAsia" w:cs="Times New Roman"/>
          <w:color w:val="auto"/>
          <w:szCs w:val="32"/>
          <w:lang w:val="en-US" w:eastAsia="zh-CN"/>
        </w:rPr>
        <w:t>20</w:t>
      </w:r>
      <w:r>
        <w:rPr>
          <w:rFonts w:hint="default" w:ascii="Times New Roman" w:hAnsi="Times New Roman" w:eastAsia="仿宋_GB2312" w:cs="Times New Roman"/>
          <w:color w:val="auto"/>
          <w:szCs w:val="32"/>
        </w:rPr>
        <w:t>日</w:t>
      </w:r>
    </w:p>
    <w:p>
      <w:pPr>
        <w:pStyle w:val="89"/>
        <w:keepNext w:val="0"/>
        <w:keepLines w:val="0"/>
        <w:pageBreakBefore w:val="0"/>
        <w:widowControl w:val="0"/>
        <w:kinsoku/>
        <w:wordWrap/>
        <w:overflowPunct/>
        <w:topLinePunct w:val="0"/>
        <w:autoSpaceDE/>
        <w:autoSpaceDN/>
        <w:bidi w:val="0"/>
        <w:adjustRightInd/>
        <w:snapToGrid w:val="0"/>
        <w:spacing w:line="580" w:lineRule="exact"/>
        <w:ind w:right="0" w:rightChars="0"/>
        <w:jc w:val="both"/>
        <w:textAlignment w:val="auto"/>
        <w:outlineLvl w:val="9"/>
        <w:rPr>
          <w:rFonts w:hint="default" w:ascii="Times New Roman" w:hAnsi="Times New Roman" w:eastAsia="仿宋_GB2312" w:cs="Times New Roman"/>
          <w:color w:val="auto"/>
          <w:sz w:val="28"/>
        </w:rPr>
      </w:pPr>
    </w:p>
    <w:p>
      <w:pPr>
        <w:pStyle w:val="89"/>
        <w:keepNext w:val="0"/>
        <w:keepLines w:val="0"/>
        <w:pageBreakBefore w:val="0"/>
        <w:widowControl w:val="0"/>
        <w:kinsoku/>
        <w:wordWrap/>
        <w:overflowPunct/>
        <w:topLinePunct w:val="0"/>
        <w:autoSpaceDE/>
        <w:autoSpaceDN/>
        <w:bidi w:val="0"/>
        <w:adjustRightInd/>
        <w:snapToGrid w:val="0"/>
        <w:spacing w:line="580" w:lineRule="exact"/>
        <w:ind w:right="0" w:rightChars="0"/>
        <w:jc w:val="both"/>
        <w:textAlignment w:val="auto"/>
        <w:outlineLvl w:val="9"/>
        <w:rPr>
          <w:rFonts w:hint="default" w:ascii="Times New Roman" w:hAnsi="Times New Roman" w:eastAsia="仿宋_GB2312" w:cs="Times New Roman"/>
          <w:color w:val="auto"/>
          <w:sz w:val="28"/>
        </w:rPr>
      </w:pPr>
    </w:p>
    <w:p>
      <w:pPr>
        <w:pStyle w:val="89"/>
        <w:keepNext w:val="0"/>
        <w:keepLines w:val="0"/>
        <w:pageBreakBefore w:val="0"/>
        <w:widowControl w:val="0"/>
        <w:kinsoku/>
        <w:wordWrap/>
        <w:overflowPunct/>
        <w:topLinePunct w:val="0"/>
        <w:autoSpaceDE/>
        <w:autoSpaceDN/>
        <w:bidi w:val="0"/>
        <w:adjustRightInd/>
        <w:snapToGrid w:val="0"/>
        <w:spacing w:line="580" w:lineRule="exact"/>
        <w:ind w:right="0" w:rightChars="0"/>
        <w:jc w:val="both"/>
        <w:textAlignment w:val="auto"/>
        <w:outlineLvl w:val="9"/>
        <w:rPr>
          <w:rFonts w:hint="default" w:ascii="Times New Roman" w:hAnsi="Times New Roman" w:eastAsia="仿宋_GB2312" w:cs="Times New Roman"/>
          <w:color w:val="auto"/>
          <w:sz w:val="28"/>
        </w:rPr>
      </w:pPr>
    </w:p>
    <w:p>
      <w:pPr>
        <w:pStyle w:val="89"/>
        <w:keepNext w:val="0"/>
        <w:keepLines w:val="0"/>
        <w:pageBreakBefore w:val="0"/>
        <w:widowControl w:val="0"/>
        <w:kinsoku/>
        <w:wordWrap/>
        <w:overflowPunct/>
        <w:topLinePunct w:val="0"/>
        <w:autoSpaceDE/>
        <w:autoSpaceDN/>
        <w:bidi w:val="0"/>
        <w:adjustRightInd/>
        <w:snapToGrid w:val="0"/>
        <w:spacing w:line="580" w:lineRule="exact"/>
        <w:ind w:right="0" w:rightChars="0"/>
        <w:jc w:val="both"/>
        <w:textAlignment w:val="auto"/>
        <w:outlineLvl w:val="9"/>
        <w:rPr>
          <w:rFonts w:hint="default" w:ascii="Times New Roman" w:hAnsi="Times New Roman" w:eastAsia="仿宋_GB2312" w:cs="Times New Roman"/>
          <w:color w:val="auto"/>
          <w:sz w:val="28"/>
        </w:rPr>
      </w:pPr>
      <w:r>
        <w:rPr>
          <w:rFonts w:hint="default" w:ascii="Times New Roman" w:hAnsi="Times New Roman" w:eastAsia="黑体" w:cs="Times New Roman"/>
          <w:color w:val="auto"/>
          <w:sz w:val="28"/>
        </w:rPr>
        <w:t>公开方式：</w:t>
      </w:r>
      <w:r>
        <w:rPr>
          <w:rFonts w:hint="default" w:ascii="Times New Roman" w:hAnsi="Times New Roman" w:eastAsia="仿宋_GB2312" w:cs="Times New Roman"/>
          <w:color w:val="auto"/>
          <w:sz w:val="28"/>
        </w:rPr>
        <w:t>主动公开</w:t>
      </w:r>
    </w:p>
    <w:p>
      <w:pPr>
        <w:keepNext w:val="0"/>
        <w:keepLines w:val="0"/>
        <w:pageBreakBefore w:val="0"/>
        <w:widowControl w:val="0"/>
        <w:kinsoku/>
        <w:wordWrap/>
        <w:overflowPunct/>
        <w:topLinePunct w:val="0"/>
        <w:autoSpaceDE/>
        <w:autoSpaceDN/>
        <w:bidi w:val="0"/>
        <w:adjustRightInd/>
        <w:snapToGrid w:val="0"/>
        <w:spacing w:before="62" w:beforeLines="20" w:line="580" w:lineRule="exact"/>
        <w:ind w:left="0" w:leftChars="0" w:right="0" w:rightChars="0" w:firstLine="0" w:firstLineChars="0"/>
        <w:jc w:val="left"/>
        <w:textAlignment w:val="auto"/>
        <w:outlineLvl w:val="9"/>
        <w:rPr>
          <w:rFonts w:hint="default" w:ascii="Times New Roman" w:hAnsi="Times New Roman" w:eastAsia="仿宋_GB2312" w:cs="Times New Roman"/>
          <w:color w:val="auto"/>
          <w:sz w:val="28"/>
          <w:lang w:eastAsia="zh-CN"/>
        </w:rPr>
      </w:pPr>
      <w:r>
        <w:rPr>
          <w:rFonts w:hint="default" w:ascii="Times New Roman" w:hAnsi="Times New Roman" w:eastAsia="仿宋_GB2312" w:cs="Times New Roman"/>
          <w:color w:val="auto"/>
          <w:sz w:val="28"/>
          <w:lang w:val="en-US" w:eastAsia="zh-CN"/>
        </w:rPr>
        <w:t>抄送：</w:t>
      </w:r>
      <w:r>
        <w:rPr>
          <w:rFonts w:hint="default" w:ascii="Times New Roman" w:hAnsi="Times New Roman" w:eastAsia="仿宋_GB2312" w:cs="Times New Roman"/>
          <w:color w:val="auto"/>
          <w:sz w:val="28"/>
          <w:szCs w:val="28"/>
          <w:highlight w:val="none"/>
          <w:lang w:val="en-US" w:eastAsia="zh-CN" w:bidi="ar-SA"/>
        </w:rPr>
        <w:t>惠州市生态环境局执法支队、</w:t>
      </w:r>
      <w:r>
        <w:rPr>
          <w:rFonts w:hint="eastAsia" w:ascii="Times New Roman" w:hAnsi="Times New Roman" w:eastAsia="仿宋_GB2312" w:cs="Times New Roman"/>
          <w:color w:val="auto"/>
          <w:sz w:val="28"/>
          <w:szCs w:val="28"/>
          <w:highlight w:val="none"/>
          <w:lang w:val="en-US" w:eastAsia="zh-CN" w:bidi="ar-SA"/>
        </w:rPr>
        <w:t>惠州市生态环境局大亚湾分局</w:t>
      </w:r>
      <w:r>
        <w:rPr>
          <w:rFonts w:hint="default" w:ascii="Times New Roman" w:hAnsi="Times New Roman" w:eastAsia="仿宋_GB2312" w:cs="Times New Roman"/>
          <w:color w:val="auto"/>
          <w:sz w:val="28"/>
          <w:szCs w:val="28"/>
          <w:highlight w:val="none"/>
          <w:lang w:val="en-US" w:eastAsia="zh-CN" w:bidi="ar-SA"/>
        </w:rPr>
        <w:t>、深圳市汉宇环境科技有限公司</w:t>
      </w:r>
      <w:r>
        <w:rPr>
          <w:rFonts w:hint="default" w:ascii="Times New Roman" w:hAnsi="Times New Roman" w:eastAsia="仿宋_GB2312" w:cs="Times New Roman"/>
          <w:color w:val="auto"/>
          <w:sz w:val="28"/>
          <w:lang w:val="en-US" w:eastAsia="zh-CN"/>
        </w:rPr>
        <w:t>。</w:t>
      </w:r>
    </w:p>
    <w:sectPr>
      <w:footerReference r:id="rId3" w:type="default"/>
      <w:pgSz w:w="11906" w:h="16838"/>
      <w:pgMar w:top="1288" w:right="1418" w:bottom="1130" w:left="1701" w:header="851" w:footer="851" w:gutter="0"/>
      <w:pgNumType w:fmt="decimal"/>
      <w:cols w:space="720" w:num="1"/>
      <w:docGrid w:type="linesAndChars" w:linePitch="608" w:charSpace="-2502"/>
    </w:sectPr>
  </w:body>
</w:document>
</file>

<file path=word/customizations.xml><?xml version="1.0" encoding="utf-8"?>
<wne:tcg xmlns:r="http://schemas.openxmlformats.org/officeDocument/2006/relationships" xmlns:wne="http://schemas.microsoft.com/office/word/2006/wordml">
  <wne:keymaps>
    <wne:keymap wne:kcmPrimary="045A">
      <wne:acd wne:acdName="acd0"/>
    </wne:keymap>
  </wne:keymaps>
  <wne:acds>
    <wne:acd wne:argValue="AgBja4dlIABOAGUAdwAgAE4AZQB3ACAATgBlAHcAIABOAGUAdwAgAE4AZQB3ACAATgBlAHcAIABOAGUAdwAgAE4AZQB3ACAATgBlAHcA" wne:acdName="acd0"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lear" w:pos="4153"/>
        <w:tab w:val="clear" w:pos="8306"/>
      </w:tabs>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-78740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tabs>
                              <w:tab w:val="clear" w:pos="4153"/>
                              <w:tab w:val="clear" w:pos="8306"/>
                            </w:tabs>
                            <w:rPr>
                              <w:rStyle w:val="17"/>
                              <w:rFonts w:hint="eastAsia"/>
                              <w:sz w:val="28"/>
                            </w:rPr>
                          </w:pPr>
                          <w:r>
                            <w:rPr>
                              <w:rStyle w:val="17"/>
                              <w:rFonts w:hint="eastAsia"/>
                              <w:sz w:val="28"/>
                            </w:rPr>
                            <w:t xml:space="preserve">— </w:t>
                          </w:r>
                          <w:r>
                            <w:rPr>
                              <w:rFonts w:ascii="宋体" w:hAnsi="宋体" w:eastAsia="宋体"/>
                              <w:sz w:val="28"/>
                            </w:rPr>
                            <w:fldChar w:fldCharType="begin"/>
                          </w:r>
                          <w:r>
                            <w:rPr>
                              <w:rStyle w:val="17"/>
                              <w:rFonts w:ascii="宋体" w:hAnsi="宋体" w:eastAsia="宋体"/>
                              <w:sz w:val="28"/>
                            </w:rPr>
                            <w:instrText xml:space="preserve">PAGE  </w:instrText>
                          </w:r>
                          <w:r>
                            <w:rPr>
                              <w:rFonts w:ascii="宋体" w:hAnsi="宋体" w:eastAsia="宋体"/>
                              <w:sz w:val="28"/>
                            </w:rPr>
                            <w:fldChar w:fldCharType="separate"/>
                          </w:r>
                          <w:r>
                            <w:rPr>
                              <w:rStyle w:val="17"/>
                              <w:rFonts w:ascii="宋体" w:hAnsi="宋体" w:eastAsia="宋体"/>
                              <w:sz w:val="28"/>
                            </w:rPr>
                            <w:t>1</w:t>
                          </w:r>
                          <w:r>
                            <w:rPr>
                              <w:rFonts w:ascii="宋体" w:hAnsi="宋体" w:eastAsia="宋体"/>
                              <w:sz w:val="28"/>
                            </w:rPr>
                            <w:fldChar w:fldCharType="end"/>
                          </w:r>
                          <w:r>
                            <w:rPr>
                              <w:rStyle w:val="17"/>
                              <w:rFonts w:hint="eastAsia" w:ascii="宋体" w:hAnsi="宋体" w:eastAsia="宋体"/>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6.2pt;height:144pt;width:144pt;mso-position-horizontal:center;mso-position-horizontal-relative:margin;mso-wrap-style:none;z-index:251659264;mso-width-relative:page;mso-height-relative:page;" filled="f" stroked="f" coordsize="21600,21600" o:gfxdata="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KHtI1gAAAAgBAAAPAAAAAAAAAAEAIAAAACIAAABkcnMvZG93bnJldi54bWxQ&#10;SwECFAAUAAAACACHTuJA4YDTjjICAABhBAAADgAAAAAAAAABACAAAAAlAQAAZHJzL2Uyb0RvYy54&#10;bWxQSwUGAAAAAAYABgBZAQAAyQUAAAAA&#10;">
              <v:fill on="f" focussize="0,0"/>
              <v:stroke on="f" weight="0.5pt"/>
              <v:imagedata o:title=""/>
              <o:lock v:ext="edit" aspectratio="f"/>
              <v:textbox inset="0mm,0mm,0mm,0mm" style="mso-fit-shape-to-text:t;">
                <w:txbxContent>
                  <w:p>
                    <w:pPr>
                      <w:pStyle w:val="8"/>
                      <w:tabs>
                        <w:tab w:val="clear" w:pos="4153"/>
                        <w:tab w:val="clear" w:pos="8306"/>
                      </w:tabs>
                      <w:rPr>
                        <w:rStyle w:val="17"/>
                        <w:rFonts w:hint="eastAsia"/>
                        <w:sz w:val="28"/>
                      </w:rPr>
                    </w:pPr>
                    <w:r>
                      <w:rPr>
                        <w:rStyle w:val="17"/>
                        <w:rFonts w:hint="eastAsia"/>
                        <w:sz w:val="28"/>
                      </w:rPr>
                      <w:t xml:space="preserve">— </w:t>
                    </w:r>
                    <w:r>
                      <w:rPr>
                        <w:rFonts w:ascii="宋体" w:hAnsi="宋体" w:eastAsia="宋体"/>
                        <w:sz w:val="28"/>
                      </w:rPr>
                      <w:fldChar w:fldCharType="begin"/>
                    </w:r>
                    <w:r>
                      <w:rPr>
                        <w:rStyle w:val="17"/>
                        <w:rFonts w:ascii="宋体" w:hAnsi="宋体" w:eastAsia="宋体"/>
                        <w:sz w:val="28"/>
                      </w:rPr>
                      <w:instrText xml:space="preserve">PAGE  </w:instrText>
                    </w:r>
                    <w:r>
                      <w:rPr>
                        <w:rFonts w:ascii="宋体" w:hAnsi="宋体" w:eastAsia="宋体"/>
                        <w:sz w:val="28"/>
                      </w:rPr>
                      <w:fldChar w:fldCharType="separate"/>
                    </w:r>
                    <w:r>
                      <w:rPr>
                        <w:rStyle w:val="17"/>
                        <w:rFonts w:ascii="宋体" w:hAnsi="宋体" w:eastAsia="宋体"/>
                        <w:sz w:val="28"/>
                      </w:rPr>
                      <w:t>1</w:t>
                    </w:r>
                    <w:r>
                      <w:rPr>
                        <w:rFonts w:ascii="宋体" w:hAnsi="宋体" w:eastAsia="宋体"/>
                        <w:sz w:val="28"/>
                      </w:rPr>
                      <w:fldChar w:fldCharType="end"/>
                    </w:r>
                    <w:r>
                      <w:rPr>
                        <w:rStyle w:val="17"/>
                        <w:rFonts w:hint="eastAsia" w:ascii="宋体" w:hAnsi="宋体" w:eastAsia="宋体"/>
                        <w:sz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E02438"/>
    <w:multiLevelType w:val="singleLevel"/>
    <w:tmpl w:val="25E02438"/>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wMzJiYjkwNWExZGFjNWJkZmFiNGRiNDgwZDE4YzQifQ=="/>
  </w:docVars>
  <w:rsids>
    <w:rsidRoot w:val="00172A27"/>
    <w:rsid w:val="0019360D"/>
    <w:rsid w:val="01AC3400"/>
    <w:rsid w:val="01B358B8"/>
    <w:rsid w:val="021A3061"/>
    <w:rsid w:val="02253DA6"/>
    <w:rsid w:val="02DF4779"/>
    <w:rsid w:val="041515CC"/>
    <w:rsid w:val="0432720F"/>
    <w:rsid w:val="04430BA4"/>
    <w:rsid w:val="047B2519"/>
    <w:rsid w:val="04A643B1"/>
    <w:rsid w:val="04E00609"/>
    <w:rsid w:val="054954C6"/>
    <w:rsid w:val="056B5A14"/>
    <w:rsid w:val="0606560D"/>
    <w:rsid w:val="061443B1"/>
    <w:rsid w:val="06872A80"/>
    <w:rsid w:val="072E0976"/>
    <w:rsid w:val="07344870"/>
    <w:rsid w:val="090778D1"/>
    <w:rsid w:val="092A52BE"/>
    <w:rsid w:val="093A7CD1"/>
    <w:rsid w:val="09E220F4"/>
    <w:rsid w:val="0A2C49DE"/>
    <w:rsid w:val="0B1622D3"/>
    <w:rsid w:val="0C947638"/>
    <w:rsid w:val="0CAA1FAF"/>
    <w:rsid w:val="0CAE6867"/>
    <w:rsid w:val="0D8A2F49"/>
    <w:rsid w:val="0E0469ED"/>
    <w:rsid w:val="0E282838"/>
    <w:rsid w:val="0EB2101C"/>
    <w:rsid w:val="1018276D"/>
    <w:rsid w:val="10260A68"/>
    <w:rsid w:val="102B24D6"/>
    <w:rsid w:val="10D05A25"/>
    <w:rsid w:val="10D31ADB"/>
    <w:rsid w:val="11383402"/>
    <w:rsid w:val="11E55A28"/>
    <w:rsid w:val="121336CB"/>
    <w:rsid w:val="13173A92"/>
    <w:rsid w:val="13513F89"/>
    <w:rsid w:val="13DE15A9"/>
    <w:rsid w:val="15217F41"/>
    <w:rsid w:val="156654E9"/>
    <w:rsid w:val="1603083B"/>
    <w:rsid w:val="16BA43C7"/>
    <w:rsid w:val="1783797C"/>
    <w:rsid w:val="181D4F00"/>
    <w:rsid w:val="18C00FC6"/>
    <w:rsid w:val="1921583B"/>
    <w:rsid w:val="19BE3F9D"/>
    <w:rsid w:val="1ACA66D9"/>
    <w:rsid w:val="1B35426F"/>
    <w:rsid w:val="1B557490"/>
    <w:rsid w:val="1B6464C0"/>
    <w:rsid w:val="1BA2401B"/>
    <w:rsid w:val="1C756F56"/>
    <w:rsid w:val="1C8B6F2F"/>
    <w:rsid w:val="1E0F652F"/>
    <w:rsid w:val="1E503517"/>
    <w:rsid w:val="1E8437A6"/>
    <w:rsid w:val="1EB4623D"/>
    <w:rsid w:val="1FDB13D3"/>
    <w:rsid w:val="1FF2312B"/>
    <w:rsid w:val="200B17D6"/>
    <w:rsid w:val="20310C22"/>
    <w:rsid w:val="2094254E"/>
    <w:rsid w:val="211E5C7B"/>
    <w:rsid w:val="21F73D90"/>
    <w:rsid w:val="2220431E"/>
    <w:rsid w:val="222769CD"/>
    <w:rsid w:val="22F7461A"/>
    <w:rsid w:val="2376568A"/>
    <w:rsid w:val="24B46789"/>
    <w:rsid w:val="24D208B9"/>
    <w:rsid w:val="25245748"/>
    <w:rsid w:val="25957D85"/>
    <w:rsid w:val="25DB6F95"/>
    <w:rsid w:val="261F1CCB"/>
    <w:rsid w:val="266E4A34"/>
    <w:rsid w:val="26D71EA5"/>
    <w:rsid w:val="26F66ED4"/>
    <w:rsid w:val="27266901"/>
    <w:rsid w:val="27F23395"/>
    <w:rsid w:val="28A342E3"/>
    <w:rsid w:val="28E80FB5"/>
    <w:rsid w:val="29AA237C"/>
    <w:rsid w:val="29F82430"/>
    <w:rsid w:val="2B5E1C7E"/>
    <w:rsid w:val="2BA422F9"/>
    <w:rsid w:val="2BD06DFF"/>
    <w:rsid w:val="2BDD49D3"/>
    <w:rsid w:val="2C3019E6"/>
    <w:rsid w:val="2D394FAE"/>
    <w:rsid w:val="2D5B2039"/>
    <w:rsid w:val="2DB46FA4"/>
    <w:rsid w:val="2EE22BA5"/>
    <w:rsid w:val="2F592F4B"/>
    <w:rsid w:val="2F8F4D52"/>
    <w:rsid w:val="31422772"/>
    <w:rsid w:val="31B7634E"/>
    <w:rsid w:val="31C42FBA"/>
    <w:rsid w:val="322D48C1"/>
    <w:rsid w:val="326D3E48"/>
    <w:rsid w:val="32F867F8"/>
    <w:rsid w:val="334E4CE9"/>
    <w:rsid w:val="34342F95"/>
    <w:rsid w:val="362D18C0"/>
    <w:rsid w:val="36405E50"/>
    <w:rsid w:val="3681788B"/>
    <w:rsid w:val="36F4488A"/>
    <w:rsid w:val="37392539"/>
    <w:rsid w:val="384A2A92"/>
    <w:rsid w:val="389C271F"/>
    <w:rsid w:val="39CE29FB"/>
    <w:rsid w:val="39D05B1A"/>
    <w:rsid w:val="39F553EE"/>
    <w:rsid w:val="3A816554"/>
    <w:rsid w:val="3B82639E"/>
    <w:rsid w:val="3BD205E7"/>
    <w:rsid w:val="3C80533E"/>
    <w:rsid w:val="3CCD7708"/>
    <w:rsid w:val="3CDE7C92"/>
    <w:rsid w:val="3D6E361C"/>
    <w:rsid w:val="3E057FC7"/>
    <w:rsid w:val="3E081E76"/>
    <w:rsid w:val="3E6E5F04"/>
    <w:rsid w:val="3EB5372C"/>
    <w:rsid w:val="412A3890"/>
    <w:rsid w:val="420939D2"/>
    <w:rsid w:val="42BE03C1"/>
    <w:rsid w:val="43200BD1"/>
    <w:rsid w:val="452E3F12"/>
    <w:rsid w:val="45366C30"/>
    <w:rsid w:val="464468A7"/>
    <w:rsid w:val="46C972A3"/>
    <w:rsid w:val="46D508AD"/>
    <w:rsid w:val="47334C18"/>
    <w:rsid w:val="47394D62"/>
    <w:rsid w:val="474138E0"/>
    <w:rsid w:val="477C2A9E"/>
    <w:rsid w:val="48787B5A"/>
    <w:rsid w:val="48EA15EF"/>
    <w:rsid w:val="49CB5080"/>
    <w:rsid w:val="49DB2320"/>
    <w:rsid w:val="49FF45BB"/>
    <w:rsid w:val="4A1C3183"/>
    <w:rsid w:val="4B7E591F"/>
    <w:rsid w:val="4B9455B2"/>
    <w:rsid w:val="4BCE7CEB"/>
    <w:rsid w:val="4C185317"/>
    <w:rsid w:val="4CF9668C"/>
    <w:rsid w:val="4D502A3F"/>
    <w:rsid w:val="4DCC5DF9"/>
    <w:rsid w:val="4DE84D3B"/>
    <w:rsid w:val="4E2B3799"/>
    <w:rsid w:val="4E8C70DC"/>
    <w:rsid w:val="4FA95D6A"/>
    <w:rsid w:val="50E55C48"/>
    <w:rsid w:val="514E559A"/>
    <w:rsid w:val="515A1B07"/>
    <w:rsid w:val="52874572"/>
    <w:rsid w:val="52F63F30"/>
    <w:rsid w:val="53211A26"/>
    <w:rsid w:val="53DF5B4E"/>
    <w:rsid w:val="54BD71C0"/>
    <w:rsid w:val="556360C1"/>
    <w:rsid w:val="55DA4A18"/>
    <w:rsid w:val="561D373C"/>
    <w:rsid w:val="56723306"/>
    <w:rsid w:val="57D55A9B"/>
    <w:rsid w:val="585D7AA9"/>
    <w:rsid w:val="590602F2"/>
    <w:rsid w:val="594718AD"/>
    <w:rsid w:val="59491EC0"/>
    <w:rsid w:val="59A11B47"/>
    <w:rsid w:val="59FF5317"/>
    <w:rsid w:val="5A6C0071"/>
    <w:rsid w:val="5A8D4DFF"/>
    <w:rsid w:val="5AC87C6E"/>
    <w:rsid w:val="5B5D7EF0"/>
    <w:rsid w:val="5BB66886"/>
    <w:rsid w:val="5C2E56CA"/>
    <w:rsid w:val="5C3C7755"/>
    <w:rsid w:val="5C56302C"/>
    <w:rsid w:val="5D8913DC"/>
    <w:rsid w:val="5E7C34A1"/>
    <w:rsid w:val="5E7F14E2"/>
    <w:rsid w:val="5F3A4BD2"/>
    <w:rsid w:val="5F9072C4"/>
    <w:rsid w:val="5FFB0A30"/>
    <w:rsid w:val="615B04A6"/>
    <w:rsid w:val="6209626D"/>
    <w:rsid w:val="6216260E"/>
    <w:rsid w:val="637516E1"/>
    <w:rsid w:val="648D4933"/>
    <w:rsid w:val="64B75F98"/>
    <w:rsid w:val="653B054E"/>
    <w:rsid w:val="660F1CE8"/>
    <w:rsid w:val="66B21DB7"/>
    <w:rsid w:val="672F43D7"/>
    <w:rsid w:val="67EC4D1B"/>
    <w:rsid w:val="682D2EAE"/>
    <w:rsid w:val="68AB647D"/>
    <w:rsid w:val="68B472F0"/>
    <w:rsid w:val="6A162388"/>
    <w:rsid w:val="6A1B23C4"/>
    <w:rsid w:val="6ADA1851"/>
    <w:rsid w:val="6B75651E"/>
    <w:rsid w:val="6CD050B5"/>
    <w:rsid w:val="6CE32955"/>
    <w:rsid w:val="6D2C3E63"/>
    <w:rsid w:val="6DEC17BE"/>
    <w:rsid w:val="6E0C5642"/>
    <w:rsid w:val="6E325A33"/>
    <w:rsid w:val="6F394D3C"/>
    <w:rsid w:val="6F8B0D45"/>
    <w:rsid w:val="6FD6146F"/>
    <w:rsid w:val="702A41CD"/>
    <w:rsid w:val="706540FC"/>
    <w:rsid w:val="71514C59"/>
    <w:rsid w:val="720C31B9"/>
    <w:rsid w:val="751F7127"/>
    <w:rsid w:val="752761A5"/>
    <w:rsid w:val="752937F0"/>
    <w:rsid w:val="7647255D"/>
    <w:rsid w:val="765F73B8"/>
    <w:rsid w:val="76D265F5"/>
    <w:rsid w:val="76F049C8"/>
    <w:rsid w:val="797F3FA4"/>
    <w:rsid w:val="7A8050CE"/>
    <w:rsid w:val="7AAF05A8"/>
    <w:rsid w:val="7B5E4105"/>
    <w:rsid w:val="7BA17E62"/>
    <w:rsid w:val="7BA97359"/>
    <w:rsid w:val="7DB644AE"/>
    <w:rsid w:val="7DC258CF"/>
    <w:rsid w:val="7DD13C1A"/>
    <w:rsid w:val="7DFB639E"/>
    <w:rsid w:val="7EC613E8"/>
    <w:rsid w:val="7F1D7F81"/>
    <w:rsid w:val="7F990284"/>
    <w:rsid w:val="7FB60447"/>
    <w:rsid w:val="7FDD4BCD"/>
    <w:rsid w:val="B9F529C1"/>
    <w:rsid w:val="DFFF00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eastAsia" w:ascii="Times New Roman" w:hAnsi="Times New Roman" w:eastAsia="仿宋_GB2312" w:cs="Times New Roman"/>
      <w:kern w:val="2"/>
      <w:sz w:val="32"/>
      <w:lang w:val="en-US" w:eastAsia="zh-CN"/>
    </w:rPr>
  </w:style>
  <w:style w:type="paragraph" w:styleId="2">
    <w:name w:val="heading 1"/>
    <w:basedOn w:val="1"/>
    <w:next w:val="1"/>
    <w:qFormat/>
    <w:uiPriority w:val="0"/>
    <w:pPr>
      <w:keepNext/>
      <w:keepLines/>
      <w:adjustRightInd w:val="0"/>
      <w:spacing w:line="360" w:lineRule="auto"/>
      <w:textAlignment w:val="baseline"/>
      <w:outlineLvl w:val="0"/>
    </w:pPr>
    <w:rPr>
      <w:rFonts w:hAnsi="宋体"/>
      <w:b/>
      <w:kern w:val="44"/>
      <w:sz w:val="32"/>
      <w:szCs w:val="32"/>
    </w:rPr>
  </w:style>
  <w:style w:type="character" w:default="1" w:styleId="15">
    <w:name w:val="Default Paragraph Font"/>
    <w:link w:val="16"/>
    <w:qFormat/>
    <w:uiPriority w:val="0"/>
    <w:rPr>
      <w:rFonts w:ascii="Times New Roman" w:hAnsi="Times New Roman" w:eastAsia="宋体" w:cs="Times New Roman"/>
    </w:rPr>
  </w:style>
  <w:style w:type="table" w:default="1" w:styleId="14">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jc w:val="center"/>
    </w:pPr>
    <w:rPr>
      <w:rFonts w:ascii="黑体" w:hAnsi="Times New Roman" w:eastAsia="黑体" w:cs="Times New Roman"/>
      <w:sz w:val="36"/>
    </w:rPr>
  </w:style>
  <w:style w:type="paragraph" w:styleId="4">
    <w:name w:val="Body Text Indent"/>
    <w:basedOn w:val="1"/>
    <w:next w:val="1"/>
    <w:qFormat/>
    <w:uiPriority w:val="0"/>
    <w:pPr>
      <w:adjustRightInd w:val="0"/>
      <w:snapToGrid w:val="0"/>
      <w:spacing w:before="156" w:beforeLines="50" w:after="156" w:afterLines="50" w:line="480" w:lineRule="atLeast"/>
      <w:ind w:firstLine="573"/>
    </w:pPr>
    <w:rPr>
      <w:rFonts w:ascii="Times New Roman" w:hAnsi="Times New Roman" w:eastAsia="宋体" w:cs="Times New Roman"/>
      <w:sz w:val="28"/>
    </w:rPr>
  </w:style>
  <w:style w:type="paragraph" w:styleId="5">
    <w:name w:val="Plain Text"/>
    <w:basedOn w:val="1"/>
    <w:next w:val="1"/>
    <w:qFormat/>
    <w:uiPriority w:val="0"/>
    <w:rPr>
      <w:rFonts w:ascii="宋体" w:hAnsi="Courier New" w:cs="Courier New"/>
      <w:szCs w:val="21"/>
    </w:rPr>
  </w:style>
  <w:style w:type="paragraph" w:styleId="6">
    <w:name w:val="Body Text Indent 2"/>
    <w:basedOn w:val="1"/>
    <w:qFormat/>
    <w:uiPriority w:val="0"/>
    <w:pPr>
      <w:spacing w:line="640" w:lineRule="exact"/>
      <w:ind w:firstLine="640"/>
    </w:pPr>
    <w:rPr>
      <w:rFonts w:ascii="仿宋_GB2312" w:hAnsi="Times New Roman" w:eastAsia="宋体" w:cs="Times New Roman"/>
    </w:rPr>
  </w:style>
  <w:style w:type="paragraph" w:styleId="7">
    <w:name w:val="Balloon Text"/>
    <w:basedOn w:val="1"/>
    <w:qFormat/>
    <w:uiPriority w:val="0"/>
    <w:rPr>
      <w:rFonts w:ascii="Times New Roman" w:hAnsi="Times New Roman" w:eastAsia="宋体" w:cs="Times New Roman"/>
      <w:sz w:val="18"/>
      <w:szCs w:val="18"/>
    </w:rPr>
  </w:style>
  <w:style w:type="paragraph" w:styleId="8">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0">
    <w:name w:val="toc 1"/>
    <w:basedOn w:val="1"/>
    <w:next w:val="1"/>
    <w:qFormat/>
    <w:uiPriority w:val="39"/>
    <w:pPr>
      <w:tabs>
        <w:tab w:val="right" w:leader="dot" w:pos="8296"/>
      </w:tabs>
      <w:spacing w:before="120" w:after="120" w:line="300" w:lineRule="auto"/>
    </w:pPr>
    <w:rPr>
      <w:b/>
      <w:bCs/>
      <w:caps/>
      <w:color w:val="000000"/>
      <w:sz w:val="24"/>
      <w:szCs w:val="24"/>
      <w:lang w:val="en-US" w:eastAsia="zh-CN" w:bidi="ar-SA"/>
    </w:rPr>
  </w:style>
  <w:style w:type="paragraph" w:styleId="11">
    <w:name w:val="Body Text Indent 3"/>
    <w:basedOn w:val="1"/>
    <w:qFormat/>
    <w:uiPriority w:val="0"/>
    <w:pPr>
      <w:ind w:firstLine="616" w:firstLineChars="200"/>
    </w:pPr>
    <w:rPr>
      <w:rFonts w:ascii="Times New Roman" w:hAnsi="Times New Roman" w:eastAsia="宋体" w:cs="Times New Roman"/>
    </w:rPr>
  </w:style>
  <w:style w:type="paragraph" w:styleId="12">
    <w:name w:val="Body Text 2"/>
    <w:basedOn w:val="1"/>
    <w:qFormat/>
    <w:uiPriority w:val="0"/>
    <w:pPr>
      <w:spacing w:before="60" w:beforeLines="0" w:after="60" w:afterLines="0" w:line="0" w:lineRule="atLeast"/>
    </w:pPr>
    <w:rPr>
      <w:rFonts w:ascii="Times New Roman" w:hAnsi="Times New Roman" w:eastAsia="宋体" w:cs="Times New Roman"/>
      <w:sz w:val="28"/>
    </w:rPr>
  </w:style>
  <w:style w:type="paragraph" w:styleId="13">
    <w:name w:val="Body Text First Indent 2"/>
    <w:basedOn w:val="4"/>
    <w:next w:val="1"/>
    <w:unhideWhenUsed/>
    <w:qFormat/>
    <w:uiPriority w:val="0"/>
    <w:pPr>
      <w:spacing w:beforeLines="0" w:afterLines="0"/>
      <w:ind w:firstLine="420" w:firstLineChars="200"/>
    </w:pPr>
    <w:rPr>
      <w:rFonts w:hint="default"/>
      <w:sz w:val="21"/>
      <w:szCs w:val="24"/>
    </w:rPr>
  </w:style>
  <w:style w:type="paragraph" w:customStyle="1" w:styleId="16">
    <w:name w:val="表格标题"/>
    <w:basedOn w:val="1"/>
    <w:link w:val="15"/>
    <w:qFormat/>
    <w:uiPriority w:val="0"/>
    <w:rPr>
      <w:rFonts w:ascii="Times New Roman" w:hAnsi="Times New Roman" w:eastAsia="宋体" w:cs="Times New Roman"/>
    </w:rPr>
  </w:style>
  <w:style w:type="character" w:styleId="17">
    <w:name w:val="page number"/>
    <w:basedOn w:val="15"/>
    <w:qFormat/>
    <w:uiPriority w:val="0"/>
    <w:rPr>
      <w:rFonts w:ascii="Times New Roman" w:hAnsi="Times New Roman" w:eastAsia="宋体" w:cs="Times New Roman"/>
    </w:rPr>
  </w:style>
  <w:style w:type="paragraph" w:customStyle="1" w:styleId="18">
    <w:name w:val="Default"/>
    <w:basedOn w:val="19"/>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纯文本1"/>
    <w:basedOn w:val="1"/>
    <w:next w:val="5"/>
    <w:qFormat/>
    <w:uiPriority w:val="0"/>
    <w:rPr>
      <w:rFonts w:hint="eastAsia" w:ascii="宋体" w:hAnsi="Courier New"/>
      <w:szCs w:val="22"/>
    </w:rPr>
  </w:style>
  <w:style w:type="paragraph" w:customStyle="1" w:styleId="20">
    <w:name w:val="Default1"/>
    <w:next w:val="2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1">
    <w:name w:val="正文样式1"/>
    <w:basedOn w:val="1"/>
    <w:next w:val="1"/>
    <w:qFormat/>
    <w:uiPriority w:val="0"/>
    <w:pPr>
      <w:widowControl/>
      <w:adjustRightInd w:val="0"/>
      <w:snapToGrid w:val="0"/>
      <w:ind w:firstLine="510"/>
      <w:jc w:val="left"/>
    </w:pPr>
    <w:rPr>
      <w:rFonts w:ascii="Tahoma" w:hAnsi="Tahoma" w:eastAsia="Tahoma" w:cs="Tahoma"/>
      <w:kern w:val="24"/>
      <w:sz w:val="24"/>
    </w:rPr>
  </w:style>
  <w:style w:type="character" w:customStyle="1" w:styleId="22">
    <w:name w:val="Default Paragraph Font New New"/>
    <w:link w:val="23"/>
    <w:qFormat/>
    <w:uiPriority w:val="0"/>
    <w:rPr>
      <w:rFonts w:hint="default" w:ascii="Times New Roman" w:hAnsi="Times New Roman" w:eastAsia="宋体" w:cs="Times New Roman"/>
    </w:rPr>
  </w:style>
  <w:style w:type="paragraph" w:customStyle="1" w:styleId="23">
    <w:name w:val=" Char Char Char Char Char Char Char Char Char New New"/>
    <w:basedOn w:val="24"/>
    <w:link w:val="22"/>
    <w:qFormat/>
    <w:uiPriority w:val="0"/>
    <w:pPr>
      <w:widowControl/>
      <w:spacing w:after="160" w:afterLines="0" w:line="240" w:lineRule="exact"/>
      <w:jc w:val="left"/>
    </w:pPr>
    <w:rPr>
      <w:rFonts w:hint="default" w:ascii="Times New Roman" w:hAnsi="Times New Roman" w:eastAsia="宋体" w:cs="Times New Roman"/>
    </w:rPr>
  </w:style>
  <w:style w:type="paragraph" w:customStyle="1" w:styleId="24">
    <w:name w:val="Normal New New"/>
    <w:qFormat/>
    <w:uiPriority w:val="0"/>
    <w:pPr>
      <w:widowControl w:val="0"/>
      <w:jc w:val="both"/>
    </w:pPr>
    <w:rPr>
      <w:rFonts w:hint="eastAsia" w:ascii="Times New Roman" w:hAnsi="Times New Roman" w:eastAsia="仿宋_GB2312" w:cs="Times New Roman"/>
      <w:kern w:val="2"/>
      <w:sz w:val="32"/>
      <w:lang w:val="en-US" w:eastAsia="zh-CN"/>
    </w:rPr>
  </w:style>
  <w:style w:type="character" w:customStyle="1" w:styleId="25">
    <w:name w:val="Default Paragraph Font New New New New New New New New New"/>
    <w:link w:val="26"/>
    <w:qFormat/>
    <w:uiPriority w:val="0"/>
    <w:rPr>
      <w:rFonts w:hint="default" w:ascii="Times New Roman" w:hAnsi="Times New Roman" w:eastAsia="宋体" w:cs="Times New Roman"/>
    </w:rPr>
  </w:style>
  <w:style w:type="paragraph" w:customStyle="1" w:styleId="26">
    <w:name w:val=" Char Char Char Char Char Char Char Char Char New New New New New New New New New"/>
    <w:basedOn w:val="27"/>
    <w:link w:val="25"/>
    <w:qFormat/>
    <w:uiPriority w:val="0"/>
    <w:pPr>
      <w:widowControl/>
      <w:spacing w:after="160" w:afterLines="0" w:line="240" w:lineRule="exact"/>
      <w:jc w:val="left"/>
    </w:pPr>
    <w:rPr>
      <w:rFonts w:hint="default" w:ascii="Times New Roman" w:hAnsi="Times New Roman" w:eastAsia="宋体" w:cs="Times New Roman"/>
    </w:rPr>
  </w:style>
  <w:style w:type="paragraph" w:customStyle="1" w:styleId="27">
    <w:name w:val="Normal New New New New New New New New New"/>
    <w:qFormat/>
    <w:uiPriority w:val="0"/>
    <w:pPr>
      <w:widowControl w:val="0"/>
      <w:jc w:val="both"/>
    </w:pPr>
    <w:rPr>
      <w:rFonts w:hint="eastAsia" w:ascii="Times New Roman" w:hAnsi="Times New Roman" w:eastAsia="仿宋_GB2312" w:cs="Times New Roman"/>
      <w:kern w:val="2"/>
      <w:sz w:val="32"/>
      <w:lang w:val="en-US" w:eastAsia="zh-CN"/>
    </w:rPr>
  </w:style>
  <w:style w:type="character" w:customStyle="1" w:styleId="28">
    <w:name w:val="Default Paragraph Font New New New New New New New"/>
    <w:link w:val="29"/>
    <w:qFormat/>
    <w:uiPriority w:val="0"/>
    <w:rPr>
      <w:rFonts w:hint="default" w:ascii="Times New Roman" w:hAnsi="Times New Roman" w:eastAsia="宋体" w:cs="Times New Roman"/>
    </w:rPr>
  </w:style>
  <w:style w:type="paragraph" w:customStyle="1" w:styleId="29">
    <w:name w:val=" Char Char Char Char Char Char Char Char Char New New New New New New New"/>
    <w:basedOn w:val="30"/>
    <w:link w:val="28"/>
    <w:qFormat/>
    <w:uiPriority w:val="0"/>
    <w:pPr>
      <w:widowControl/>
      <w:spacing w:after="160" w:afterLines="0" w:line="240" w:lineRule="exact"/>
      <w:jc w:val="left"/>
    </w:pPr>
    <w:rPr>
      <w:rFonts w:hint="default" w:ascii="Times New Roman" w:hAnsi="Times New Roman" w:eastAsia="宋体" w:cs="Times New Roman"/>
    </w:rPr>
  </w:style>
  <w:style w:type="paragraph" w:customStyle="1" w:styleId="30">
    <w:name w:val="Normal New New New New New New New"/>
    <w:qFormat/>
    <w:uiPriority w:val="0"/>
    <w:pPr>
      <w:widowControl w:val="0"/>
      <w:jc w:val="both"/>
    </w:pPr>
    <w:rPr>
      <w:rFonts w:hint="eastAsia" w:ascii="Times New Roman" w:hAnsi="Times New Roman" w:eastAsia="仿宋_GB2312" w:cs="Times New Roman"/>
      <w:kern w:val="2"/>
      <w:sz w:val="32"/>
      <w:lang w:val="en-US" w:eastAsia="zh-CN"/>
    </w:rPr>
  </w:style>
  <w:style w:type="character" w:customStyle="1" w:styleId="31">
    <w:name w:val="Default Paragraph Font New New New New New New New New New New New"/>
    <w:link w:val="32"/>
    <w:qFormat/>
    <w:uiPriority w:val="0"/>
    <w:rPr>
      <w:rFonts w:hint="default" w:ascii="Times New Roman" w:hAnsi="Times New Roman" w:eastAsia="宋体" w:cs="Times New Roman"/>
    </w:rPr>
  </w:style>
  <w:style w:type="paragraph" w:customStyle="1" w:styleId="32">
    <w:name w:val=" Char Char Char Char Char Char Char Char Char New New New New New New New New New New"/>
    <w:basedOn w:val="33"/>
    <w:link w:val="31"/>
    <w:qFormat/>
    <w:uiPriority w:val="0"/>
    <w:pPr>
      <w:widowControl/>
      <w:spacing w:after="160" w:afterLines="0" w:line="240" w:lineRule="exact"/>
      <w:jc w:val="left"/>
    </w:pPr>
    <w:rPr>
      <w:rFonts w:hint="default" w:ascii="Times New Roman" w:hAnsi="Times New Roman" w:eastAsia="宋体" w:cs="Times New Roman"/>
    </w:rPr>
  </w:style>
  <w:style w:type="paragraph" w:customStyle="1" w:styleId="33">
    <w:name w:val="Normal New New New New New New New New New New New New"/>
    <w:qFormat/>
    <w:uiPriority w:val="0"/>
    <w:pPr>
      <w:widowControl w:val="0"/>
      <w:jc w:val="both"/>
    </w:pPr>
    <w:rPr>
      <w:rFonts w:hint="eastAsia" w:ascii="Times New Roman" w:hAnsi="Times New Roman" w:eastAsia="仿宋_GB2312" w:cs="Times New Roman"/>
      <w:kern w:val="2"/>
      <w:sz w:val="32"/>
      <w:lang w:val="en-US" w:eastAsia="zh-CN"/>
    </w:rPr>
  </w:style>
  <w:style w:type="character" w:customStyle="1" w:styleId="34">
    <w:name w:val="Default Paragraph Font New New New"/>
    <w:link w:val="35"/>
    <w:qFormat/>
    <w:uiPriority w:val="0"/>
    <w:rPr>
      <w:rFonts w:hint="default" w:ascii="Times New Roman" w:hAnsi="Times New Roman" w:eastAsia="宋体" w:cs="Times New Roman"/>
    </w:rPr>
  </w:style>
  <w:style w:type="paragraph" w:customStyle="1" w:styleId="35">
    <w:name w:val=" Char Char Char Char Char Char Char Char Char New New New"/>
    <w:basedOn w:val="36"/>
    <w:link w:val="34"/>
    <w:qFormat/>
    <w:uiPriority w:val="0"/>
    <w:pPr>
      <w:widowControl/>
      <w:spacing w:after="160" w:afterLines="0" w:line="240" w:lineRule="exact"/>
      <w:jc w:val="left"/>
    </w:pPr>
    <w:rPr>
      <w:rFonts w:hint="default" w:ascii="Times New Roman" w:hAnsi="Times New Roman" w:eastAsia="宋体" w:cs="Times New Roman"/>
    </w:rPr>
  </w:style>
  <w:style w:type="paragraph" w:customStyle="1" w:styleId="36">
    <w:name w:val="Normal New New New"/>
    <w:qFormat/>
    <w:uiPriority w:val="0"/>
    <w:pPr>
      <w:widowControl w:val="0"/>
      <w:jc w:val="both"/>
    </w:pPr>
    <w:rPr>
      <w:rFonts w:hint="eastAsia" w:ascii="Times New Roman" w:hAnsi="Times New Roman" w:eastAsia="仿宋_GB2312" w:cs="Times New Roman"/>
      <w:kern w:val="2"/>
      <w:sz w:val="32"/>
      <w:lang w:val="en-US" w:eastAsia="zh-CN"/>
    </w:rPr>
  </w:style>
  <w:style w:type="character" w:customStyle="1" w:styleId="37">
    <w:name w:val="Default Paragraph Font New"/>
    <w:link w:val="38"/>
    <w:qFormat/>
    <w:uiPriority w:val="0"/>
    <w:rPr>
      <w:rFonts w:hint="default" w:ascii="Times New Roman" w:hAnsi="Times New Roman" w:eastAsia="宋体" w:cs="Times New Roman"/>
    </w:rPr>
  </w:style>
  <w:style w:type="paragraph" w:customStyle="1" w:styleId="38">
    <w:name w:val=" Char Char Char Char Char Char Char Char Char New"/>
    <w:basedOn w:val="39"/>
    <w:link w:val="37"/>
    <w:qFormat/>
    <w:uiPriority w:val="0"/>
    <w:pPr>
      <w:widowControl/>
      <w:spacing w:after="160" w:afterLines="0" w:line="240" w:lineRule="exact"/>
      <w:jc w:val="left"/>
    </w:pPr>
    <w:rPr>
      <w:rFonts w:hint="default" w:ascii="Times New Roman" w:hAnsi="Times New Roman" w:eastAsia="宋体" w:cs="Times New Roman"/>
    </w:rPr>
  </w:style>
  <w:style w:type="paragraph" w:customStyle="1" w:styleId="39">
    <w:name w:val="Normal New"/>
    <w:qFormat/>
    <w:uiPriority w:val="0"/>
    <w:pPr>
      <w:widowControl w:val="0"/>
      <w:jc w:val="both"/>
    </w:pPr>
    <w:rPr>
      <w:rFonts w:hint="eastAsia" w:ascii="Times New Roman" w:hAnsi="Times New Roman" w:eastAsia="仿宋_GB2312" w:cs="Times New Roman"/>
      <w:kern w:val="2"/>
      <w:sz w:val="32"/>
      <w:lang w:val="en-US" w:eastAsia="zh-CN"/>
    </w:rPr>
  </w:style>
  <w:style w:type="character" w:customStyle="1" w:styleId="40">
    <w:name w:val="Default Paragraph Font"/>
    <w:link w:val="41"/>
    <w:qFormat/>
    <w:uiPriority w:val="0"/>
    <w:rPr>
      <w:rFonts w:hint="default" w:ascii="Times New Roman" w:hAnsi="Times New Roman" w:eastAsia="宋体" w:cs="Times New Roman"/>
    </w:rPr>
  </w:style>
  <w:style w:type="paragraph" w:customStyle="1" w:styleId="41">
    <w:name w:val="char"/>
    <w:basedOn w:val="42"/>
    <w:link w:val="40"/>
    <w:qFormat/>
    <w:uiPriority w:val="0"/>
    <w:pPr>
      <w:widowControl/>
      <w:jc w:val="left"/>
    </w:pPr>
    <w:rPr>
      <w:rFonts w:hint="default" w:ascii="Times New Roman" w:hAnsi="Times New Roman" w:eastAsia="宋体" w:cs="Times New Roman"/>
    </w:rPr>
  </w:style>
  <w:style w:type="paragraph" w:customStyle="1" w:styleId="42">
    <w:name w:val="Normal"/>
    <w:qFormat/>
    <w:uiPriority w:val="0"/>
    <w:pPr>
      <w:widowControl w:val="0"/>
      <w:jc w:val="both"/>
    </w:pPr>
    <w:rPr>
      <w:rFonts w:hint="eastAsia" w:ascii="Times New Roman" w:hAnsi="Times New Roman" w:eastAsia="仿宋_GB2312" w:cs="Times New Roman"/>
      <w:kern w:val="2"/>
      <w:sz w:val="32"/>
      <w:lang w:val="en-US" w:eastAsia="zh-CN"/>
    </w:rPr>
  </w:style>
  <w:style w:type="character" w:customStyle="1" w:styleId="43">
    <w:name w:val="Default Paragraph Font New New New New New New"/>
    <w:link w:val="44"/>
    <w:qFormat/>
    <w:uiPriority w:val="0"/>
    <w:rPr>
      <w:rFonts w:hint="default" w:ascii="Times New Roman" w:hAnsi="Times New Roman" w:eastAsia="宋体" w:cs="Times New Roman"/>
    </w:rPr>
  </w:style>
  <w:style w:type="paragraph" w:customStyle="1" w:styleId="44">
    <w:name w:val=" Char Char Char Char Char Char Char Char Char New New New New New New"/>
    <w:basedOn w:val="45"/>
    <w:link w:val="43"/>
    <w:qFormat/>
    <w:uiPriority w:val="0"/>
    <w:pPr>
      <w:widowControl/>
      <w:spacing w:after="160" w:afterLines="0" w:line="240" w:lineRule="exact"/>
      <w:jc w:val="left"/>
    </w:pPr>
    <w:rPr>
      <w:rFonts w:hint="default" w:ascii="Times New Roman" w:hAnsi="Times New Roman" w:eastAsia="宋体" w:cs="Times New Roman"/>
    </w:rPr>
  </w:style>
  <w:style w:type="paragraph" w:customStyle="1" w:styleId="45">
    <w:name w:val="Normal New New New New New New"/>
    <w:qFormat/>
    <w:uiPriority w:val="0"/>
    <w:pPr>
      <w:widowControl w:val="0"/>
      <w:jc w:val="both"/>
    </w:pPr>
    <w:rPr>
      <w:rFonts w:hint="eastAsia" w:ascii="Times New Roman" w:hAnsi="Times New Roman" w:eastAsia="仿宋_GB2312" w:cs="Times New Roman"/>
      <w:kern w:val="2"/>
      <w:sz w:val="32"/>
      <w:lang w:val="en-US" w:eastAsia="zh-CN"/>
    </w:rPr>
  </w:style>
  <w:style w:type="character" w:customStyle="1" w:styleId="46">
    <w:name w:val="Default Paragraph Font New New New New New New New New New New"/>
    <w:qFormat/>
    <w:uiPriority w:val="0"/>
    <w:rPr>
      <w:rFonts w:hint="default" w:ascii="Times New Roman" w:hAnsi="Times New Roman" w:eastAsia="宋体" w:cs="Times New Roman"/>
    </w:rPr>
  </w:style>
  <w:style w:type="character" w:customStyle="1" w:styleId="47">
    <w:name w:val="Default Paragraph Font New New New New New New New New New New New New"/>
    <w:qFormat/>
    <w:uiPriority w:val="0"/>
    <w:rPr>
      <w:rFonts w:hint="default" w:ascii="Times New Roman" w:hAnsi="Times New Roman" w:eastAsia="宋体" w:cs="Times New Roman"/>
    </w:rPr>
  </w:style>
  <w:style w:type="character" w:customStyle="1" w:styleId="48">
    <w:name w:val="Default Paragraph Font New New New New"/>
    <w:link w:val="49"/>
    <w:qFormat/>
    <w:uiPriority w:val="0"/>
    <w:rPr>
      <w:rFonts w:hint="default" w:ascii="Times New Roman" w:hAnsi="Times New Roman" w:eastAsia="宋体" w:cs="Times New Roman"/>
    </w:rPr>
  </w:style>
  <w:style w:type="paragraph" w:customStyle="1" w:styleId="49">
    <w:name w:val=" Char Char Char Char Char Char Char Char Char New New New New"/>
    <w:basedOn w:val="50"/>
    <w:link w:val="48"/>
    <w:qFormat/>
    <w:uiPriority w:val="0"/>
    <w:pPr>
      <w:widowControl/>
      <w:spacing w:after="160" w:afterLines="0" w:line="240" w:lineRule="exact"/>
      <w:jc w:val="left"/>
    </w:pPr>
    <w:rPr>
      <w:rFonts w:hint="default" w:ascii="Times New Roman" w:hAnsi="Times New Roman" w:eastAsia="宋体" w:cs="Times New Roman"/>
    </w:rPr>
  </w:style>
  <w:style w:type="paragraph" w:customStyle="1" w:styleId="50">
    <w:name w:val="Normal New New New New"/>
    <w:qFormat/>
    <w:uiPriority w:val="0"/>
    <w:pPr>
      <w:widowControl w:val="0"/>
      <w:jc w:val="both"/>
    </w:pPr>
    <w:rPr>
      <w:rFonts w:hint="eastAsia" w:ascii="Times New Roman" w:hAnsi="Times New Roman" w:eastAsia="仿宋_GB2312" w:cs="Times New Roman"/>
      <w:kern w:val="2"/>
      <w:sz w:val="32"/>
      <w:lang w:val="en-US" w:eastAsia="zh-CN"/>
    </w:rPr>
  </w:style>
  <w:style w:type="character" w:customStyle="1" w:styleId="51">
    <w:name w:val="Default Paragraph Font New New New New New"/>
    <w:link w:val="52"/>
    <w:qFormat/>
    <w:uiPriority w:val="0"/>
    <w:rPr>
      <w:rFonts w:hint="default" w:ascii="Times New Roman" w:hAnsi="Times New Roman" w:eastAsia="宋体" w:cs="Times New Roman"/>
    </w:rPr>
  </w:style>
  <w:style w:type="paragraph" w:customStyle="1" w:styleId="52">
    <w:name w:val=" Char Char Char Char Char Char Char Char Char New New New New New"/>
    <w:basedOn w:val="53"/>
    <w:link w:val="51"/>
    <w:qFormat/>
    <w:uiPriority w:val="0"/>
    <w:pPr>
      <w:widowControl/>
      <w:spacing w:after="160" w:afterLines="0" w:line="240" w:lineRule="exact"/>
      <w:jc w:val="left"/>
    </w:pPr>
    <w:rPr>
      <w:rFonts w:hint="default" w:ascii="Times New Roman" w:hAnsi="Times New Roman" w:eastAsia="宋体" w:cs="Times New Roman"/>
    </w:rPr>
  </w:style>
  <w:style w:type="paragraph" w:customStyle="1" w:styleId="53">
    <w:name w:val="Normal New New New New New"/>
    <w:qFormat/>
    <w:uiPriority w:val="0"/>
    <w:pPr>
      <w:widowControl w:val="0"/>
      <w:jc w:val="both"/>
    </w:pPr>
    <w:rPr>
      <w:rFonts w:hint="eastAsia" w:ascii="Times New Roman" w:hAnsi="Times New Roman" w:eastAsia="仿宋_GB2312" w:cs="Times New Roman"/>
      <w:kern w:val="2"/>
      <w:sz w:val="32"/>
      <w:lang w:val="en-US" w:eastAsia="zh-CN"/>
    </w:rPr>
  </w:style>
  <w:style w:type="character" w:customStyle="1" w:styleId="54">
    <w:name w:val="Default Paragraph Font New New New New New New New New"/>
    <w:link w:val="55"/>
    <w:qFormat/>
    <w:uiPriority w:val="0"/>
    <w:rPr>
      <w:rFonts w:hint="default" w:ascii="Times New Roman" w:hAnsi="Times New Roman" w:eastAsia="宋体" w:cs="Times New Roman"/>
    </w:rPr>
  </w:style>
  <w:style w:type="paragraph" w:customStyle="1" w:styleId="55">
    <w:name w:val=" Char Char Char Char Char Char Char Char Char New New New New New New New New"/>
    <w:basedOn w:val="56"/>
    <w:link w:val="54"/>
    <w:qFormat/>
    <w:uiPriority w:val="0"/>
    <w:pPr>
      <w:widowControl/>
      <w:spacing w:after="160" w:afterLines="0" w:line="240" w:lineRule="exact"/>
      <w:jc w:val="left"/>
    </w:pPr>
    <w:rPr>
      <w:rFonts w:hint="default" w:ascii="Times New Roman" w:hAnsi="Times New Roman" w:eastAsia="宋体" w:cs="Times New Roman"/>
    </w:rPr>
  </w:style>
  <w:style w:type="paragraph" w:customStyle="1" w:styleId="56">
    <w:name w:val="Normal New New New New New New New New"/>
    <w:qFormat/>
    <w:uiPriority w:val="0"/>
    <w:pPr>
      <w:widowControl w:val="0"/>
      <w:jc w:val="both"/>
    </w:pPr>
    <w:rPr>
      <w:rFonts w:hint="eastAsia" w:ascii="Times New Roman" w:hAnsi="Times New Roman" w:eastAsia="仿宋_GB2312" w:cs="Times New Roman"/>
      <w:kern w:val="2"/>
      <w:sz w:val="32"/>
      <w:lang w:val="en-US" w:eastAsia="zh-CN"/>
    </w:rPr>
  </w:style>
  <w:style w:type="paragraph" w:customStyle="1" w:styleId="57">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
    <w:name w:val="Char Char Char Char Char Char Char Char Char Char"/>
    <w:basedOn w:val="1"/>
    <w:qFormat/>
    <w:uiPriority w:val="0"/>
    <w:pPr>
      <w:spacing w:line="240" w:lineRule="exact"/>
      <w:ind w:firstLine="200" w:firstLineChars="200"/>
    </w:pPr>
    <w:rPr>
      <w:rFonts w:ascii="宋体" w:hAnsi="宋体" w:eastAsia="宋体" w:cs="宋体"/>
      <w:sz w:val="24"/>
    </w:rPr>
  </w:style>
  <w:style w:type="paragraph" w:customStyle="1" w:styleId="59">
    <w:name w:val="页眉 New New"/>
    <w:basedOn w:val="60"/>
    <w:qFormat/>
    <w:uiPriority w:val="0"/>
    <w:pPr>
      <w:pBdr>
        <w:bottom w:val="single" w:color="auto" w:sz="6" w:space="1"/>
      </w:pBdr>
      <w:tabs>
        <w:tab w:val="center" w:pos="4153"/>
        <w:tab w:val="right" w:pos="8306"/>
      </w:tabs>
      <w:snapToGrid w:val="0"/>
      <w:jc w:val="center"/>
    </w:pPr>
    <w:rPr>
      <w:sz w:val="18"/>
      <w:szCs w:val="18"/>
    </w:rPr>
  </w:style>
  <w:style w:type="paragraph" w:customStyle="1" w:styleId="60">
    <w:name w:val="正文 New New New New New New"/>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61">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
    <w:name w:val="报告正文"/>
    <w:basedOn w:val="1"/>
    <w:qFormat/>
    <w:uiPriority w:val="0"/>
    <w:pPr>
      <w:adjustRightInd w:val="0"/>
      <w:snapToGrid w:val="0"/>
      <w:spacing w:line="360" w:lineRule="auto"/>
      <w:ind w:firstLine="200" w:firstLineChars="200"/>
    </w:pPr>
    <w:rPr>
      <w:rFonts w:ascii="宋体"/>
      <w:kern w:val="0"/>
      <w:sz w:val="24"/>
      <w:szCs w:val="20"/>
    </w:rPr>
  </w:style>
  <w:style w:type="paragraph" w:customStyle="1" w:styleId="63">
    <w:name w:val=" Char Char Char Char"/>
    <w:basedOn w:val="1"/>
    <w:qFormat/>
    <w:uiPriority w:val="0"/>
    <w:rPr>
      <w:rFonts w:ascii="Times New Roman" w:hAnsi="Times New Roman" w:eastAsia="宋体" w:cs="Times New Roman"/>
      <w:sz w:val="21"/>
      <w:szCs w:val="21"/>
    </w:rPr>
  </w:style>
  <w:style w:type="paragraph" w:customStyle="1" w:styleId="64">
    <w:name w:val="正文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
    <w:name w:val="正文 New New"/>
    <w:qFormat/>
    <w:uiPriority w:val="0"/>
    <w:pPr>
      <w:widowControl w:val="0"/>
      <w:spacing w:line="300" w:lineRule="auto"/>
      <w:ind w:firstLine="420"/>
      <w:jc w:val="both"/>
    </w:pPr>
    <w:rPr>
      <w:rFonts w:ascii="Times New Roman" w:hAnsi="Times New Roman" w:eastAsia="宋体" w:cs="Times New Roman"/>
      <w:kern w:val="2"/>
      <w:sz w:val="24"/>
      <w:szCs w:val="24"/>
      <w:lang w:val="en-US" w:eastAsia="zh-CN" w:bidi="ar-SA"/>
    </w:rPr>
  </w:style>
  <w:style w:type="paragraph" w:customStyle="1" w:styleId="66">
    <w:name w:val="Normal New New New New New New New New New New New New New"/>
    <w:qFormat/>
    <w:uiPriority w:val="0"/>
    <w:pPr>
      <w:widowControl w:val="0"/>
      <w:jc w:val="both"/>
    </w:pPr>
    <w:rPr>
      <w:rFonts w:hint="eastAsia" w:ascii="Times New Roman" w:hAnsi="Times New Roman" w:eastAsia="宋体" w:cs="Times New Roman"/>
      <w:kern w:val="2"/>
      <w:sz w:val="21"/>
      <w:lang w:val="en-US" w:eastAsia="zh-CN"/>
    </w:rPr>
  </w:style>
  <w:style w:type="paragraph" w:customStyle="1" w:styleId="67">
    <w:name w:val="Body Text"/>
    <w:basedOn w:val="33"/>
    <w:qFormat/>
    <w:uiPriority w:val="0"/>
    <w:pPr>
      <w:jc w:val="center"/>
    </w:pPr>
    <w:rPr>
      <w:rFonts w:hint="eastAsia" w:ascii="黑体" w:hAnsi="Times New Roman" w:eastAsia="黑体" w:cs="Times New Roman"/>
      <w:sz w:val="36"/>
    </w:rPr>
  </w:style>
  <w:style w:type="paragraph" w:customStyle="1" w:styleId="68">
    <w:name w:val="正文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69">
    <w:name w:val="页眉 New"/>
    <w:basedOn w:val="70"/>
    <w:qFormat/>
    <w:uiPriority w:val="0"/>
    <w:pPr>
      <w:pBdr>
        <w:bottom w:val="single" w:color="auto" w:sz="6" w:space="1"/>
      </w:pBdr>
      <w:tabs>
        <w:tab w:val="center" w:pos="4153"/>
        <w:tab w:val="right" w:pos="8306"/>
      </w:tabs>
      <w:snapToGrid w:val="0"/>
      <w:jc w:val="center"/>
    </w:pPr>
    <w:rPr>
      <w:sz w:val="18"/>
      <w:szCs w:val="18"/>
    </w:rPr>
  </w:style>
  <w:style w:type="paragraph" w:customStyle="1" w:styleId="70">
    <w:name w:val="正文 New New New New New"/>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71">
    <w:name w:val="默认段落字体 Para Char Char Char Char"/>
    <w:basedOn w:val="72"/>
    <w:qFormat/>
    <w:uiPriority w:val="0"/>
    <w:pPr>
      <w:spacing w:line="360" w:lineRule="auto"/>
      <w:ind w:firstLine="200" w:firstLineChars="200"/>
    </w:pPr>
    <w:rPr>
      <w:rFonts w:ascii="Times New Roman" w:hAnsi="Times New Roman" w:eastAsia="宋体" w:cs="Times New Roman"/>
    </w:rPr>
  </w:style>
  <w:style w:type="paragraph" w:customStyle="1" w:styleId="72">
    <w:name w:val="正文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3">
    <w:name w:val="正文文本缩进 2 New New"/>
    <w:basedOn w:val="33"/>
    <w:qFormat/>
    <w:uiPriority w:val="0"/>
    <w:pPr>
      <w:spacing w:line="660" w:lineRule="exact"/>
      <w:ind w:firstLine="640"/>
    </w:pPr>
    <w:rPr>
      <w:rFonts w:hint="eastAsia" w:ascii="仿宋_GB2312" w:hAnsi="Times New Roman" w:eastAsia="宋体" w:cs="Times New Roman"/>
    </w:rPr>
  </w:style>
  <w:style w:type="paragraph" w:customStyle="1" w:styleId="74">
    <w:name w:val="正文 New New New New New New New New New New"/>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75">
    <w:name w:val=" Char"/>
    <w:basedOn w:val="1"/>
    <w:qFormat/>
    <w:uiPriority w:val="0"/>
    <w:pPr>
      <w:spacing w:line="360" w:lineRule="auto"/>
      <w:ind w:firstLine="200" w:firstLineChars="200"/>
    </w:pPr>
    <w:rPr>
      <w:rFonts w:ascii="宋体" w:hAnsi="宋体" w:eastAsia="宋体" w:cs="宋体"/>
      <w:sz w:val="24"/>
    </w:rPr>
  </w:style>
  <w:style w:type="paragraph" w:customStyle="1" w:styleId="76">
    <w:name w:val=" Char Char Char Char Char Char Char Char Char"/>
    <w:basedOn w:val="1"/>
    <w:qFormat/>
    <w:uiPriority w:val="0"/>
    <w:pPr>
      <w:widowControl/>
      <w:spacing w:after="160" w:afterLines="0" w:line="240" w:lineRule="exact"/>
      <w:jc w:val="left"/>
    </w:pPr>
    <w:rPr>
      <w:rFonts w:ascii="Times New Roman" w:hAnsi="Times New Roman" w:eastAsia="宋体" w:cs="Times New Roman"/>
    </w:rPr>
  </w:style>
  <w:style w:type="paragraph" w:customStyle="1" w:styleId="77">
    <w:name w:val="正文 New"/>
    <w:qFormat/>
    <w:uiPriority w:val="0"/>
    <w:pPr>
      <w:widowControl w:val="0"/>
      <w:spacing w:line="300" w:lineRule="auto"/>
      <w:ind w:firstLine="420"/>
      <w:jc w:val="both"/>
    </w:pPr>
    <w:rPr>
      <w:rFonts w:ascii="Times New Roman" w:hAnsi="Times New Roman" w:eastAsia="宋体" w:cs="Times New Roman"/>
      <w:kern w:val="2"/>
      <w:sz w:val="24"/>
      <w:szCs w:val="24"/>
      <w:lang w:val="en-US" w:eastAsia="zh-CN" w:bidi="ar-SA"/>
    </w:rPr>
  </w:style>
  <w:style w:type="paragraph" w:customStyle="1" w:styleId="78">
    <w:name w:val="正文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79">
    <w:name w:val="正文1111111"/>
    <w:basedOn w:val="1"/>
    <w:qFormat/>
    <w:uiPriority w:val="0"/>
    <w:pPr>
      <w:spacing w:line="360" w:lineRule="auto"/>
      <w:ind w:firstLine="480" w:firstLineChars="200"/>
    </w:pPr>
    <w:rPr>
      <w:rFonts w:ascii="Times New Roman" w:hAnsi="Times New Roman" w:eastAsia="宋体" w:cs="宋体"/>
      <w:sz w:val="24"/>
      <w:szCs w:val="20"/>
    </w:rPr>
  </w:style>
  <w:style w:type="paragraph" w:customStyle="1" w:styleId="80">
    <w:name w:val="正文文本 New"/>
    <w:basedOn w:val="65"/>
    <w:qFormat/>
    <w:uiPriority w:val="0"/>
    <w:pPr>
      <w:jc w:val="center"/>
    </w:pPr>
    <w:rPr>
      <w:rFonts w:ascii="黑体" w:hAnsi="Times New Roman" w:eastAsia="黑体" w:cs="Times New Roman"/>
      <w:sz w:val="36"/>
    </w:rPr>
  </w:style>
  <w:style w:type="paragraph" w:customStyle="1" w:styleId="81">
    <w:name w:val="Normal New New New New New New New New New New"/>
    <w:qFormat/>
    <w:uiPriority w:val="0"/>
    <w:pPr>
      <w:jc w:val="both"/>
    </w:pPr>
    <w:rPr>
      <w:rFonts w:ascii="Times New Roman" w:hAnsi="Times New Roman" w:eastAsia="宋体" w:cs="Times New Roman"/>
      <w:kern w:val="2"/>
      <w:sz w:val="21"/>
    </w:rPr>
  </w:style>
  <w:style w:type="paragraph" w:customStyle="1" w:styleId="82">
    <w:name w:val="Normal New New New New New New New New New New New"/>
    <w:qFormat/>
    <w:uiPriority w:val="0"/>
    <w:pPr>
      <w:widowControl w:val="0"/>
      <w:jc w:val="both"/>
    </w:pPr>
    <w:rPr>
      <w:rFonts w:hint="eastAsia" w:ascii="Times New Roman" w:hAnsi="Times New Roman" w:eastAsia="宋体" w:cs="Times New Roman"/>
      <w:kern w:val="2"/>
      <w:sz w:val="21"/>
      <w:lang w:val="en-US" w:eastAsia="zh-CN"/>
    </w:rPr>
  </w:style>
  <w:style w:type="paragraph" w:customStyle="1" w:styleId="83">
    <w:name w:val="p0"/>
    <w:basedOn w:val="1"/>
    <w:qFormat/>
    <w:uiPriority w:val="0"/>
    <w:pPr>
      <w:widowControl/>
    </w:pPr>
    <w:rPr>
      <w:rFonts w:ascii="Times New Roman" w:hAnsi="Times New Roman" w:eastAsia="宋体" w:cs="Times New Roman"/>
      <w:kern w:val="0"/>
      <w:szCs w:val="21"/>
    </w:rPr>
  </w:style>
  <w:style w:type="paragraph" w:customStyle="1" w:styleId="84">
    <w:name w:val="正文 New New New New New New New New"/>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85">
    <w:name w:val=" Char Char Char Char Char Char Char Char Char Char Char Char Char Char Char Char Char Char Char Char Char1 Char"/>
    <w:qFormat/>
    <w:uiPriority w:val="0"/>
    <w:pPr>
      <w:widowControl w:val="0"/>
      <w:spacing w:line="360" w:lineRule="exact"/>
      <w:ind w:firstLine="480" w:firstLineChars="200"/>
      <w:jc w:val="both"/>
    </w:pPr>
    <w:rPr>
      <w:rFonts w:ascii="Times New Roman" w:hAnsi="Times New Roman" w:eastAsia="宋体" w:cs="Times New Roman"/>
    </w:rPr>
  </w:style>
  <w:style w:type="paragraph" w:customStyle="1" w:styleId="86">
    <w:name w:val="页眉 New New New"/>
    <w:basedOn w:val="74"/>
    <w:qFormat/>
    <w:uiPriority w:val="0"/>
    <w:pPr>
      <w:pBdr>
        <w:bottom w:val="single" w:color="auto" w:sz="6" w:space="1"/>
      </w:pBdr>
      <w:tabs>
        <w:tab w:val="center" w:pos="4153"/>
        <w:tab w:val="right" w:pos="8306"/>
      </w:tabs>
      <w:snapToGrid w:val="0"/>
      <w:jc w:val="center"/>
    </w:pPr>
    <w:rPr>
      <w:sz w:val="18"/>
      <w:szCs w:val="18"/>
    </w:rPr>
  </w:style>
  <w:style w:type="paragraph" w:customStyle="1" w:styleId="87">
    <w:name w:val="正文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88">
    <w:name w:val="正文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
    <w:name w:val="正文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90">
    <w:name w:val="正文文本缩进 2 New"/>
    <w:basedOn w:val="1"/>
    <w:qFormat/>
    <w:uiPriority w:val="0"/>
    <w:pPr>
      <w:spacing w:line="660" w:lineRule="exact"/>
      <w:ind w:firstLine="640"/>
    </w:pPr>
    <w:rPr>
      <w:rFonts w:ascii="仿宋_GB2312" w:hAnsi="Times New Roman" w:eastAsia="宋体"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平行文或下发文.dot</Template>
  <Company>hzhb</Company>
  <Pages>5</Pages>
  <Words>2569</Words>
  <Characters>2756</Characters>
  <Lines>12</Lines>
  <Paragraphs>3</Paragraphs>
  <TotalTime>6</TotalTime>
  <ScaleCrop>false</ScaleCrop>
  <LinksUpToDate>false</LinksUpToDate>
  <CharactersWithSpaces>2859</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2011-06-24T09:11:00Z</dcterms:created>
  <dc:creator>张晓云</dc:creator>
  <cp:lastModifiedBy>VV</cp:lastModifiedBy>
  <cp:lastPrinted>2023-09-14T02:54:00Z</cp:lastPrinted>
  <dcterms:modified xsi:type="dcterms:W3CDTF">2023-11-02T03:59:15Z</dcterms:modified>
  <dc:title>惠市环[2001]   号                         签发人：局领导</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1ABC727FFA834443899C739B5550F9B0</vt:lpwstr>
  </property>
</Properties>
</file>