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仿宋"/>
          <w:color w:val="FF0000"/>
          <w:szCs w:val="32"/>
        </w:rPr>
      </w:pPr>
    </w:p>
    <w:p>
      <w:pPr>
        <w:ind w:firstLine="0" w:firstLineChars="0"/>
        <w:jc w:val="center"/>
        <w:rPr>
          <w:rFonts w:eastAsia="仿宋"/>
          <w:color w:val="FF0000"/>
          <w:szCs w:val="32"/>
        </w:rPr>
      </w:pPr>
    </w:p>
    <w:p>
      <w:pPr>
        <w:ind w:firstLine="0" w:firstLineChars="0"/>
        <w:jc w:val="center"/>
        <w:rPr>
          <w:rFonts w:eastAsia="仿宋"/>
          <w:color w:val="FF0000"/>
          <w:szCs w:val="32"/>
        </w:rPr>
      </w:pPr>
    </w:p>
    <w:p>
      <w:pPr>
        <w:pStyle w:val="2"/>
        <w:spacing w:line="560" w:lineRule="exact"/>
        <w:ind w:firstLine="0" w:firstLineChars="0"/>
        <w:jc w:val="center"/>
      </w:pPr>
    </w:p>
    <w:p>
      <w:pPr>
        <w:overflowPunct w:val="0"/>
        <w:adjustRightInd w:val="0"/>
        <w:snapToGrid w:val="0"/>
        <w:spacing w:line="600" w:lineRule="exact"/>
        <w:ind w:firstLine="0" w:firstLineChars="0"/>
        <w:jc w:val="center"/>
        <w:rPr>
          <w:rFonts w:ascii="仿宋_GB2312"/>
        </w:rPr>
      </w:pPr>
    </w:p>
    <w:p>
      <w:pPr>
        <w:spacing w:before="360" w:beforeLines="150" w:line="800" w:lineRule="exact"/>
        <w:ind w:firstLine="0" w:firstLineChars="0"/>
        <w:jc w:val="center"/>
        <w:rPr>
          <w:rFonts w:hint="eastAsia" w:ascii="创艺简标宋" w:hAnsi="创艺简标宋" w:eastAsia="创艺简标宋" w:cs="创艺简标宋"/>
          <w:spacing w:val="11"/>
          <w:sz w:val="52"/>
          <w:szCs w:val="52"/>
        </w:rPr>
      </w:pPr>
      <w:r>
        <w:rPr>
          <w:rFonts w:hint="eastAsia" w:ascii="创艺简标宋" w:hAnsi="创艺简标宋" w:eastAsia="创艺简标宋" w:cs="创艺简标宋"/>
          <w:spacing w:val="11"/>
          <w:sz w:val="52"/>
          <w:szCs w:val="52"/>
        </w:rPr>
        <w:t>惠州市国民经济和社会发展第十四个</w:t>
      </w:r>
    </w:p>
    <w:p>
      <w:pPr>
        <w:spacing w:before="360" w:beforeLines="150" w:line="800" w:lineRule="exact"/>
        <w:ind w:firstLine="0" w:firstLineChars="0"/>
        <w:jc w:val="center"/>
        <w:rPr>
          <w:rFonts w:hint="eastAsia" w:ascii="创艺简标宋" w:hAnsi="创艺简标宋" w:eastAsia="创艺简标宋" w:cs="创艺简标宋"/>
          <w:spacing w:val="11"/>
          <w:sz w:val="52"/>
          <w:szCs w:val="52"/>
        </w:rPr>
      </w:pPr>
      <w:r>
        <w:rPr>
          <w:rFonts w:hint="eastAsia" w:ascii="创艺简标宋" w:hAnsi="创艺简标宋" w:eastAsia="创艺简标宋" w:cs="创艺简标宋"/>
          <w:spacing w:val="11"/>
          <w:sz w:val="52"/>
          <w:szCs w:val="52"/>
        </w:rPr>
        <w:t>五年规划和2035年远景目标纲要</w:t>
      </w:r>
    </w:p>
    <w:p>
      <w:pPr>
        <w:overflowPunct w:val="0"/>
        <w:spacing w:line="600" w:lineRule="exact"/>
        <w:ind w:firstLine="0" w:firstLineChars="0"/>
        <w:jc w:val="center"/>
        <w:rPr>
          <w:rFonts w:eastAsia="方正楷体_GBK"/>
          <w:sz w:val="36"/>
          <w:szCs w:val="36"/>
        </w:rPr>
      </w:pPr>
    </w:p>
    <w:p>
      <w:pPr>
        <w:overflowPunct w:val="0"/>
        <w:spacing w:line="600" w:lineRule="exact"/>
        <w:ind w:firstLine="0" w:firstLineChars="0"/>
        <w:jc w:val="center"/>
        <w:rPr>
          <w:rFonts w:eastAsia="仿宋"/>
          <w:szCs w:val="32"/>
        </w:rPr>
      </w:pPr>
      <w:r>
        <w:rPr>
          <w:rFonts w:eastAsia="仿宋"/>
          <w:szCs w:val="32"/>
        </w:rPr>
        <w:t>（2021年3月2日市十二届人大八次会议审议批准）</w:t>
      </w:r>
    </w:p>
    <w:p>
      <w:pPr>
        <w:overflowPunct w:val="0"/>
        <w:spacing w:line="600" w:lineRule="exact"/>
        <w:ind w:firstLine="0" w:firstLineChars="0"/>
        <w:jc w:val="center"/>
        <w:rPr>
          <w:rFonts w:eastAsia="方正楷体_GBK"/>
          <w:sz w:val="36"/>
          <w:szCs w:val="36"/>
        </w:rPr>
      </w:pPr>
    </w:p>
    <w:p>
      <w:pPr>
        <w:overflowPunct w:val="0"/>
        <w:spacing w:line="600" w:lineRule="exact"/>
        <w:ind w:firstLine="0" w:firstLineChars="0"/>
        <w:jc w:val="center"/>
        <w:rPr>
          <w:rFonts w:eastAsia="方正楷体_GBK"/>
          <w:sz w:val="36"/>
          <w:szCs w:val="36"/>
        </w:rPr>
      </w:pPr>
    </w:p>
    <w:p>
      <w:pPr>
        <w:overflowPunct w:val="0"/>
        <w:spacing w:line="600" w:lineRule="exact"/>
        <w:ind w:firstLine="0" w:firstLineChars="0"/>
        <w:jc w:val="center"/>
        <w:rPr>
          <w:rFonts w:eastAsia="方正楷体_GBK"/>
          <w:sz w:val="36"/>
          <w:szCs w:val="36"/>
        </w:rPr>
      </w:pPr>
    </w:p>
    <w:p>
      <w:pPr>
        <w:overflowPunct w:val="0"/>
        <w:spacing w:line="600" w:lineRule="exact"/>
        <w:ind w:firstLine="0" w:firstLineChars="0"/>
        <w:jc w:val="center"/>
        <w:rPr>
          <w:rFonts w:eastAsia="方正楷体_GBK"/>
          <w:sz w:val="36"/>
          <w:szCs w:val="36"/>
        </w:rPr>
      </w:pPr>
    </w:p>
    <w:p>
      <w:pPr>
        <w:overflowPunct w:val="0"/>
        <w:spacing w:line="600" w:lineRule="exact"/>
        <w:ind w:firstLine="0" w:firstLineChars="0"/>
        <w:jc w:val="center"/>
        <w:rPr>
          <w:rFonts w:eastAsia="方正楷体_GBK"/>
          <w:sz w:val="36"/>
          <w:szCs w:val="36"/>
        </w:rPr>
      </w:pPr>
    </w:p>
    <w:p>
      <w:pPr>
        <w:overflowPunct w:val="0"/>
        <w:spacing w:line="600" w:lineRule="exact"/>
        <w:ind w:firstLine="0" w:firstLineChars="0"/>
        <w:jc w:val="center"/>
        <w:rPr>
          <w:rFonts w:eastAsia="方正楷体_GBK"/>
          <w:sz w:val="36"/>
          <w:szCs w:val="36"/>
        </w:rPr>
      </w:pPr>
    </w:p>
    <w:p>
      <w:pPr>
        <w:pStyle w:val="9"/>
        <w:overflowPunct w:val="0"/>
        <w:spacing w:line="600" w:lineRule="exact"/>
        <w:ind w:firstLine="0" w:firstLineChars="0"/>
        <w:jc w:val="center"/>
        <w:rPr>
          <w:rFonts w:ascii="Times New Roman" w:hAnsi="Times New Roman" w:eastAsia="方正楷体_GBK" w:cs="Times New Roman"/>
          <w:sz w:val="36"/>
          <w:szCs w:val="36"/>
        </w:rPr>
      </w:pPr>
    </w:p>
    <w:p>
      <w:pPr>
        <w:overflowPunct w:val="0"/>
        <w:spacing w:line="600" w:lineRule="exact"/>
        <w:ind w:firstLine="0" w:firstLineChars="0"/>
        <w:jc w:val="center"/>
        <w:rPr>
          <w:rFonts w:eastAsia="方正楷体_GBK"/>
          <w:sz w:val="36"/>
          <w:szCs w:val="36"/>
        </w:rPr>
      </w:pPr>
    </w:p>
    <w:p>
      <w:pPr>
        <w:pStyle w:val="9"/>
        <w:overflowPunct w:val="0"/>
        <w:spacing w:line="600" w:lineRule="exact"/>
        <w:ind w:firstLine="0" w:firstLineChars="0"/>
        <w:jc w:val="center"/>
      </w:pPr>
    </w:p>
    <w:p>
      <w:pPr>
        <w:ind w:firstLine="640"/>
      </w:pPr>
    </w:p>
    <w:p>
      <w:pPr>
        <w:overflowPunct w:val="0"/>
        <w:spacing w:line="600" w:lineRule="exact"/>
        <w:ind w:firstLine="0" w:firstLineChars="0"/>
        <w:jc w:val="center"/>
        <w:rPr>
          <w:rFonts w:eastAsia="楷体_GB2312"/>
          <w:szCs w:val="32"/>
        </w:rPr>
        <w:sectPr>
          <w:headerReference r:id="rId5" w:type="default"/>
          <w:footerReference r:id="rId6" w:type="default"/>
          <w:pgSz w:w="11906" w:h="16838"/>
          <w:pgMar w:top="1814" w:right="1474" w:bottom="1418" w:left="1474" w:header="851" w:footer="992" w:gutter="0"/>
          <w:cols w:space="720" w:num="1"/>
          <w:docGrid w:linePitch="435" w:charSpace="0"/>
        </w:sectPr>
      </w:pPr>
      <w:r>
        <w:rPr>
          <w:rFonts w:eastAsia="楷体_GB2312"/>
          <w:szCs w:val="32"/>
        </w:rPr>
        <w:t>2021年</w:t>
      </w:r>
      <w:r>
        <w:rPr>
          <w:rFonts w:hint="eastAsia" w:eastAsia="楷体_GB2312"/>
          <w:szCs w:val="32"/>
        </w:rPr>
        <w:t>5</w:t>
      </w:r>
      <w:r>
        <w:rPr>
          <w:rFonts w:eastAsia="楷体_GB2312"/>
          <w:szCs w:val="32"/>
        </w:rPr>
        <w:t>月</w:t>
      </w:r>
    </w:p>
    <w:p>
      <w:pPr>
        <w:pStyle w:val="2"/>
        <w:ind w:firstLine="480"/>
      </w:pPr>
    </w:p>
    <w:p>
      <w:pPr>
        <w:pStyle w:val="2"/>
        <w:ind w:firstLine="480"/>
      </w:pPr>
    </w:p>
    <w:p>
      <w:pPr>
        <w:overflowPunct w:val="0"/>
        <w:spacing w:line="600" w:lineRule="exact"/>
        <w:ind w:firstLine="0" w:firstLineChars="0"/>
        <w:jc w:val="center"/>
        <w:rPr>
          <w:rFonts w:ascii="宋体" w:hAnsi="宋体" w:eastAsia="方正小标宋简体"/>
          <w:kern w:val="0"/>
          <w:sz w:val="36"/>
          <w:szCs w:val="36"/>
        </w:rPr>
      </w:pPr>
      <w:r>
        <w:rPr>
          <w:rFonts w:hint="eastAsia" w:ascii="创艺简标宋" w:hAnsi="创艺简标宋" w:eastAsia="创艺简标宋" w:cs="创艺简标宋"/>
          <w:kern w:val="0"/>
          <w:sz w:val="36"/>
          <w:szCs w:val="36"/>
        </w:rPr>
        <w:t>目   录</w:t>
      </w:r>
    </w:p>
    <w:p>
      <w:pPr>
        <w:overflowPunct w:val="0"/>
        <w:spacing w:line="600" w:lineRule="exact"/>
        <w:ind w:firstLine="0" w:firstLineChars="0"/>
        <w:jc w:val="center"/>
        <w:rPr>
          <w:rFonts w:ascii="方正小标宋_GBK" w:hAnsi="黑体" w:eastAsia="方正小标宋_GBK" w:cs="黑体"/>
          <w:sz w:val="44"/>
          <w:szCs w:val="44"/>
        </w:rPr>
      </w:pPr>
    </w:p>
    <w:p>
      <w:pPr>
        <w:pStyle w:val="13"/>
        <w:tabs>
          <w:tab w:val="right" w:leader="dot" w:pos="8958"/>
        </w:tabs>
      </w:pPr>
      <w:r>
        <w:rPr>
          <w:rFonts w:eastAsia="宋体"/>
          <w:szCs w:val="30"/>
        </w:rPr>
        <w:fldChar w:fldCharType="begin"/>
      </w:r>
      <w:r>
        <w:rPr>
          <w:rFonts w:eastAsia="宋体"/>
          <w:szCs w:val="30"/>
        </w:rPr>
        <w:instrText xml:space="preserve">TOC \o "1-2" \h \u </w:instrText>
      </w:r>
      <w:r>
        <w:rPr>
          <w:rFonts w:eastAsia="宋体"/>
          <w:szCs w:val="30"/>
        </w:rPr>
        <w:fldChar w:fldCharType="separate"/>
      </w:r>
      <w:r>
        <w:fldChar w:fldCharType="begin"/>
      </w:r>
      <w:r>
        <w:instrText xml:space="preserve"> HYPERLINK \l "_Toc12739" </w:instrText>
      </w:r>
      <w:r>
        <w:fldChar w:fldCharType="separate"/>
      </w:r>
      <w:r>
        <w:rPr>
          <w:rFonts w:hint="eastAsia" w:ascii="方正小标宋_GBK" w:eastAsia="方正小标宋_GBK"/>
          <w:szCs w:val="36"/>
        </w:rPr>
        <w:t>前  言</w:t>
      </w:r>
      <w:r>
        <w:tab/>
      </w:r>
      <w:r>
        <w:fldChar w:fldCharType="begin"/>
      </w:r>
      <w:r>
        <w:instrText xml:space="preserve"> PAGEREF _Toc12739 \h </w:instrText>
      </w:r>
      <w:r>
        <w:fldChar w:fldCharType="separate"/>
      </w:r>
      <w:r>
        <w:t>1</w:t>
      </w:r>
      <w:r>
        <w:fldChar w:fldCharType="end"/>
      </w:r>
      <w:r>
        <w:fldChar w:fldCharType="end"/>
      </w:r>
    </w:p>
    <w:p>
      <w:pPr>
        <w:pStyle w:val="13"/>
        <w:tabs>
          <w:tab w:val="right" w:leader="dot" w:pos="8958"/>
        </w:tabs>
      </w:pPr>
      <w:r>
        <w:fldChar w:fldCharType="begin"/>
      </w:r>
      <w:r>
        <w:instrText xml:space="preserve"> HYPERLINK \l "_Toc22355" </w:instrText>
      </w:r>
      <w:r>
        <w:fldChar w:fldCharType="separate"/>
      </w:r>
      <w:r>
        <w:rPr>
          <w:rFonts w:ascii="方正小标宋_GBK" w:eastAsia="方正小标宋_GBK"/>
          <w:szCs w:val="36"/>
        </w:rPr>
        <w:t xml:space="preserve">第一章  </w:t>
      </w:r>
      <w:r>
        <w:rPr>
          <w:rFonts w:hint="eastAsia" w:ascii="宋体" w:hAnsi="宋体" w:eastAsia="宋体" w:cs="宋体"/>
          <w:szCs w:val="36"/>
        </w:rPr>
        <w:t>“</w:t>
      </w:r>
      <w:r>
        <w:rPr>
          <w:rFonts w:hint="eastAsia" w:ascii="方正小标宋_GBK" w:eastAsia="方正小标宋_GBK"/>
          <w:szCs w:val="36"/>
        </w:rPr>
        <w:t>十三五</w:t>
      </w:r>
      <w:r>
        <w:rPr>
          <w:rFonts w:hint="eastAsia" w:ascii="宋体" w:hAnsi="宋体" w:eastAsia="宋体" w:cs="宋体"/>
          <w:szCs w:val="36"/>
        </w:rPr>
        <w:t>”</w:t>
      </w:r>
      <w:r>
        <w:rPr>
          <w:rFonts w:hint="eastAsia" w:ascii="方正小标宋_GBK" w:eastAsia="方正小标宋_GBK"/>
          <w:szCs w:val="36"/>
        </w:rPr>
        <w:t>发展成就和</w:t>
      </w:r>
      <w:r>
        <w:rPr>
          <w:rFonts w:hint="eastAsia" w:ascii="宋体" w:hAnsi="宋体" w:eastAsia="宋体" w:cs="宋体"/>
          <w:szCs w:val="36"/>
        </w:rPr>
        <w:t>“</w:t>
      </w:r>
      <w:r>
        <w:rPr>
          <w:rFonts w:hint="eastAsia" w:ascii="方正小标宋_GBK" w:eastAsia="方正小标宋_GBK"/>
          <w:szCs w:val="36"/>
        </w:rPr>
        <w:t>十四五</w:t>
      </w:r>
      <w:r>
        <w:rPr>
          <w:rFonts w:hint="eastAsia" w:ascii="宋体" w:hAnsi="宋体" w:eastAsia="宋体" w:cs="宋体"/>
          <w:szCs w:val="36"/>
        </w:rPr>
        <w:t>”</w:t>
      </w:r>
      <w:r>
        <w:rPr>
          <w:rFonts w:hint="eastAsia" w:ascii="方正小标宋_GBK" w:eastAsia="方正小标宋_GBK"/>
          <w:szCs w:val="36"/>
        </w:rPr>
        <w:t>发展环境</w:t>
      </w:r>
      <w:r>
        <w:tab/>
      </w:r>
      <w:r>
        <w:fldChar w:fldCharType="begin"/>
      </w:r>
      <w:r>
        <w:instrText xml:space="preserve"> PAGEREF _Toc22355 \h </w:instrText>
      </w:r>
      <w:r>
        <w:fldChar w:fldCharType="separate"/>
      </w:r>
      <w:r>
        <w:t>2</w:t>
      </w:r>
      <w:r>
        <w:fldChar w:fldCharType="end"/>
      </w:r>
      <w:r>
        <w:fldChar w:fldCharType="end"/>
      </w:r>
    </w:p>
    <w:p>
      <w:pPr>
        <w:pStyle w:val="15"/>
        <w:tabs>
          <w:tab w:val="right" w:leader="dot" w:pos="8958"/>
        </w:tabs>
        <w:ind w:firstLine="600"/>
      </w:pPr>
      <w:r>
        <w:fldChar w:fldCharType="begin"/>
      </w:r>
      <w:r>
        <w:instrText xml:space="preserve"> HYPERLINK \l "_Toc17115" </w:instrText>
      </w:r>
      <w:r>
        <w:fldChar w:fldCharType="separate"/>
      </w:r>
      <w:r>
        <w:rPr>
          <w:rFonts w:hint="eastAsia" w:ascii="黑体" w:hAnsi="黑体" w:cs="黑体"/>
        </w:rPr>
        <w:t>第一节  “十三五”发展成就</w:t>
      </w:r>
      <w:r>
        <w:tab/>
      </w:r>
      <w:r>
        <w:fldChar w:fldCharType="begin"/>
      </w:r>
      <w:r>
        <w:instrText xml:space="preserve"> PAGEREF _Toc17115 \h </w:instrText>
      </w:r>
      <w:r>
        <w:fldChar w:fldCharType="separate"/>
      </w:r>
      <w:r>
        <w:t>2</w:t>
      </w:r>
      <w:r>
        <w:fldChar w:fldCharType="end"/>
      </w:r>
      <w:r>
        <w:fldChar w:fldCharType="end"/>
      </w:r>
    </w:p>
    <w:p>
      <w:pPr>
        <w:pStyle w:val="15"/>
        <w:tabs>
          <w:tab w:val="right" w:leader="dot" w:pos="8958"/>
        </w:tabs>
        <w:ind w:firstLine="600"/>
      </w:pPr>
      <w:r>
        <w:fldChar w:fldCharType="begin"/>
      </w:r>
      <w:r>
        <w:instrText xml:space="preserve"> HYPERLINK \l "_Toc5963" </w:instrText>
      </w:r>
      <w:r>
        <w:fldChar w:fldCharType="separate"/>
      </w:r>
      <w:r>
        <w:rPr>
          <w:rFonts w:hint="eastAsia" w:ascii="黑体" w:hAnsi="黑体" w:cs="黑体"/>
        </w:rPr>
        <w:t>第二节  “十四五”发展环境</w:t>
      </w:r>
      <w:r>
        <w:tab/>
      </w:r>
      <w:r>
        <w:fldChar w:fldCharType="begin"/>
      </w:r>
      <w:r>
        <w:instrText xml:space="preserve"> PAGEREF _Toc5963 \h </w:instrText>
      </w:r>
      <w:r>
        <w:fldChar w:fldCharType="separate"/>
      </w:r>
      <w:r>
        <w:t>9</w:t>
      </w:r>
      <w:r>
        <w:fldChar w:fldCharType="end"/>
      </w:r>
      <w:r>
        <w:fldChar w:fldCharType="end"/>
      </w:r>
    </w:p>
    <w:p>
      <w:pPr>
        <w:pStyle w:val="13"/>
        <w:tabs>
          <w:tab w:val="right" w:leader="dot" w:pos="8958"/>
        </w:tabs>
      </w:pPr>
      <w:r>
        <w:fldChar w:fldCharType="begin"/>
      </w:r>
      <w:r>
        <w:instrText xml:space="preserve"> HYPERLINK \l "_Toc4557" </w:instrText>
      </w:r>
      <w:r>
        <w:fldChar w:fldCharType="separate"/>
      </w:r>
      <w:r>
        <w:rPr>
          <w:rFonts w:hint="eastAsia" w:ascii="方正小标宋_GBK" w:eastAsia="方正小标宋_GBK"/>
          <w:szCs w:val="36"/>
        </w:rPr>
        <w:t>第二章  总体要求</w:t>
      </w:r>
      <w:r>
        <w:tab/>
      </w:r>
      <w:r>
        <w:fldChar w:fldCharType="begin"/>
      </w:r>
      <w:r>
        <w:instrText xml:space="preserve"> PAGEREF _Toc4557 \h </w:instrText>
      </w:r>
      <w:r>
        <w:fldChar w:fldCharType="separate"/>
      </w:r>
      <w:r>
        <w:t>13</w:t>
      </w:r>
      <w:r>
        <w:fldChar w:fldCharType="end"/>
      </w:r>
      <w:r>
        <w:fldChar w:fldCharType="end"/>
      </w:r>
    </w:p>
    <w:p>
      <w:pPr>
        <w:pStyle w:val="15"/>
        <w:tabs>
          <w:tab w:val="right" w:leader="dot" w:pos="8958"/>
        </w:tabs>
        <w:ind w:firstLine="600"/>
      </w:pPr>
      <w:r>
        <w:fldChar w:fldCharType="begin"/>
      </w:r>
      <w:r>
        <w:instrText xml:space="preserve"> HYPERLINK \l "_Toc17415" </w:instrText>
      </w:r>
      <w:r>
        <w:fldChar w:fldCharType="separate"/>
      </w:r>
      <w:r>
        <w:t>第一节  指导思想</w:t>
      </w:r>
      <w:r>
        <w:tab/>
      </w:r>
      <w:r>
        <w:fldChar w:fldCharType="begin"/>
      </w:r>
      <w:r>
        <w:instrText xml:space="preserve"> PAGEREF _Toc17415 \h </w:instrText>
      </w:r>
      <w:r>
        <w:fldChar w:fldCharType="separate"/>
      </w:r>
      <w:r>
        <w:t>13</w:t>
      </w:r>
      <w:r>
        <w:fldChar w:fldCharType="end"/>
      </w:r>
      <w:r>
        <w:fldChar w:fldCharType="end"/>
      </w:r>
    </w:p>
    <w:p>
      <w:pPr>
        <w:pStyle w:val="15"/>
        <w:tabs>
          <w:tab w:val="right" w:leader="dot" w:pos="8958"/>
        </w:tabs>
        <w:ind w:firstLine="600"/>
      </w:pPr>
      <w:r>
        <w:fldChar w:fldCharType="begin"/>
      </w:r>
      <w:r>
        <w:instrText xml:space="preserve"> HYPERLINK \l "_Toc27788" </w:instrText>
      </w:r>
      <w:r>
        <w:fldChar w:fldCharType="separate"/>
      </w:r>
      <w:r>
        <w:t>第二节  基本原则</w:t>
      </w:r>
      <w:r>
        <w:tab/>
      </w:r>
      <w:r>
        <w:fldChar w:fldCharType="begin"/>
      </w:r>
      <w:r>
        <w:instrText xml:space="preserve"> PAGEREF _Toc27788 \h </w:instrText>
      </w:r>
      <w:r>
        <w:fldChar w:fldCharType="separate"/>
      </w:r>
      <w:r>
        <w:t>14</w:t>
      </w:r>
      <w:r>
        <w:fldChar w:fldCharType="end"/>
      </w:r>
      <w:r>
        <w:fldChar w:fldCharType="end"/>
      </w:r>
    </w:p>
    <w:p>
      <w:pPr>
        <w:pStyle w:val="15"/>
        <w:tabs>
          <w:tab w:val="right" w:leader="dot" w:pos="8958"/>
        </w:tabs>
        <w:ind w:firstLine="600"/>
      </w:pPr>
      <w:r>
        <w:fldChar w:fldCharType="begin"/>
      </w:r>
      <w:r>
        <w:instrText xml:space="preserve"> HYPERLINK \l "_Toc2062" </w:instrText>
      </w:r>
      <w:r>
        <w:fldChar w:fldCharType="separate"/>
      </w:r>
      <w:r>
        <w:t>第三节  发展目标</w:t>
      </w:r>
      <w:r>
        <w:tab/>
      </w:r>
      <w:r>
        <w:fldChar w:fldCharType="begin"/>
      </w:r>
      <w:r>
        <w:instrText xml:space="preserve"> PAGEREF _Toc2062 \h </w:instrText>
      </w:r>
      <w:r>
        <w:fldChar w:fldCharType="separate"/>
      </w:r>
      <w:r>
        <w:t>15</w:t>
      </w:r>
      <w:r>
        <w:fldChar w:fldCharType="end"/>
      </w:r>
      <w:r>
        <w:fldChar w:fldCharType="end"/>
      </w:r>
    </w:p>
    <w:p>
      <w:pPr>
        <w:pStyle w:val="13"/>
        <w:tabs>
          <w:tab w:val="right" w:leader="dot" w:pos="8958"/>
        </w:tabs>
      </w:pPr>
      <w:r>
        <w:fldChar w:fldCharType="begin"/>
      </w:r>
      <w:r>
        <w:instrText xml:space="preserve"> HYPERLINK \l "_Toc15942" </w:instrText>
      </w:r>
      <w:r>
        <w:fldChar w:fldCharType="separate"/>
      </w:r>
      <w:r>
        <w:rPr>
          <w:rFonts w:hint="eastAsia" w:ascii="方正小标宋_GBK" w:eastAsia="方正小标宋_GBK"/>
          <w:szCs w:val="36"/>
        </w:rPr>
        <w:t>第三章  实施创新驱动发展战略 建设更具影响力的科技创新高地</w:t>
      </w:r>
      <w:r>
        <w:tab/>
      </w:r>
      <w:r>
        <w:fldChar w:fldCharType="begin"/>
      </w:r>
      <w:r>
        <w:instrText xml:space="preserve"> PAGEREF _Toc15942 \h </w:instrText>
      </w:r>
      <w:r>
        <w:fldChar w:fldCharType="separate"/>
      </w:r>
      <w:r>
        <w:t>23</w:t>
      </w:r>
      <w:r>
        <w:fldChar w:fldCharType="end"/>
      </w:r>
      <w:r>
        <w:fldChar w:fldCharType="end"/>
      </w:r>
    </w:p>
    <w:p>
      <w:pPr>
        <w:pStyle w:val="15"/>
        <w:tabs>
          <w:tab w:val="right" w:leader="dot" w:pos="8958"/>
        </w:tabs>
        <w:ind w:firstLine="600"/>
      </w:pPr>
      <w:r>
        <w:fldChar w:fldCharType="begin"/>
      </w:r>
      <w:r>
        <w:instrText xml:space="preserve"> HYPERLINK \l "_Toc27034" </w:instrText>
      </w:r>
      <w:r>
        <w:fldChar w:fldCharType="separate"/>
      </w:r>
      <w:r>
        <w:t xml:space="preserve">第一节  </w:t>
      </w:r>
      <w:r>
        <w:rPr>
          <w:rFonts w:hint="eastAsia"/>
        </w:rPr>
        <w:t>加快</w:t>
      </w:r>
      <w:r>
        <w:t>建设</w:t>
      </w:r>
      <w:r>
        <w:rPr>
          <w:rFonts w:hint="eastAsia"/>
        </w:rPr>
        <w:t>能源科技创新中心</w:t>
      </w:r>
      <w:r>
        <w:tab/>
      </w:r>
      <w:r>
        <w:fldChar w:fldCharType="begin"/>
      </w:r>
      <w:r>
        <w:instrText xml:space="preserve"> PAGEREF _Toc27034 \h </w:instrText>
      </w:r>
      <w:r>
        <w:fldChar w:fldCharType="separate"/>
      </w:r>
      <w:r>
        <w:t>23</w:t>
      </w:r>
      <w:r>
        <w:fldChar w:fldCharType="end"/>
      </w:r>
      <w:r>
        <w:fldChar w:fldCharType="end"/>
      </w:r>
    </w:p>
    <w:p>
      <w:pPr>
        <w:pStyle w:val="15"/>
        <w:tabs>
          <w:tab w:val="right" w:leader="dot" w:pos="8958"/>
        </w:tabs>
        <w:ind w:firstLine="600"/>
      </w:pPr>
      <w:r>
        <w:fldChar w:fldCharType="begin"/>
      </w:r>
      <w:r>
        <w:instrText xml:space="preserve"> HYPERLINK \l "_Toc1308" </w:instrText>
      </w:r>
      <w:r>
        <w:fldChar w:fldCharType="separate"/>
      </w:r>
      <w:r>
        <w:t>第二节  培育壮大创新主体</w:t>
      </w:r>
      <w:r>
        <w:tab/>
      </w:r>
      <w:r>
        <w:fldChar w:fldCharType="begin"/>
      </w:r>
      <w:r>
        <w:instrText xml:space="preserve"> PAGEREF _Toc1308 \h </w:instrText>
      </w:r>
      <w:r>
        <w:fldChar w:fldCharType="separate"/>
      </w:r>
      <w:r>
        <w:t>24</w:t>
      </w:r>
      <w:r>
        <w:fldChar w:fldCharType="end"/>
      </w:r>
      <w:r>
        <w:fldChar w:fldCharType="end"/>
      </w:r>
    </w:p>
    <w:p>
      <w:pPr>
        <w:pStyle w:val="15"/>
        <w:tabs>
          <w:tab w:val="right" w:leader="dot" w:pos="8958"/>
        </w:tabs>
        <w:ind w:firstLine="600"/>
      </w:pPr>
      <w:r>
        <w:fldChar w:fldCharType="begin"/>
      </w:r>
      <w:r>
        <w:instrText xml:space="preserve"> HYPERLINK \l "_Toc969" </w:instrText>
      </w:r>
      <w:r>
        <w:fldChar w:fldCharType="separate"/>
      </w:r>
      <w:r>
        <w:t>第三节  加强</w:t>
      </w:r>
      <w:r>
        <w:rPr>
          <w:rFonts w:hint="eastAsia"/>
        </w:rPr>
        <w:t>产业</w:t>
      </w:r>
      <w:r>
        <w:t>关键核心技术攻</w:t>
      </w:r>
      <w:r>
        <w:rPr>
          <w:rFonts w:hint="eastAsia"/>
        </w:rPr>
        <w:t>关</w:t>
      </w:r>
      <w:r>
        <w:tab/>
      </w:r>
      <w:r>
        <w:fldChar w:fldCharType="begin"/>
      </w:r>
      <w:r>
        <w:instrText xml:space="preserve"> PAGEREF _Toc969 \h </w:instrText>
      </w:r>
      <w:r>
        <w:fldChar w:fldCharType="separate"/>
      </w:r>
      <w:r>
        <w:t>25</w:t>
      </w:r>
      <w:r>
        <w:fldChar w:fldCharType="end"/>
      </w:r>
      <w:r>
        <w:fldChar w:fldCharType="end"/>
      </w:r>
    </w:p>
    <w:p>
      <w:pPr>
        <w:pStyle w:val="15"/>
        <w:tabs>
          <w:tab w:val="right" w:leader="dot" w:pos="8958"/>
        </w:tabs>
        <w:ind w:firstLine="600"/>
      </w:pPr>
      <w:r>
        <w:fldChar w:fldCharType="begin"/>
      </w:r>
      <w:r>
        <w:instrText xml:space="preserve"> HYPERLINK \l "_Toc22294" </w:instrText>
      </w:r>
      <w:r>
        <w:fldChar w:fldCharType="separate"/>
      </w:r>
      <w:r>
        <w:t xml:space="preserve">第四节 </w:t>
      </w:r>
      <w:r>
        <w:rPr>
          <w:rFonts w:hint="eastAsia"/>
        </w:rPr>
        <w:t xml:space="preserve"> 加速</w:t>
      </w:r>
      <w:r>
        <w:t>创新成果转化应用</w:t>
      </w:r>
      <w:r>
        <w:tab/>
      </w:r>
      <w:r>
        <w:fldChar w:fldCharType="begin"/>
      </w:r>
      <w:r>
        <w:instrText xml:space="preserve"> PAGEREF _Toc22294 \h </w:instrText>
      </w:r>
      <w:r>
        <w:fldChar w:fldCharType="separate"/>
      </w:r>
      <w:r>
        <w:t>26</w:t>
      </w:r>
      <w:r>
        <w:fldChar w:fldCharType="end"/>
      </w:r>
      <w:r>
        <w:fldChar w:fldCharType="end"/>
      </w:r>
    </w:p>
    <w:p>
      <w:pPr>
        <w:pStyle w:val="15"/>
        <w:tabs>
          <w:tab w:val="right" w:leader="dot" w:pos="8958"/>
        </w:tabs>
        <w:ind w:firstLine="600"/>
      </w:pPr>
      <w:r>
        <w:fldChar w:fldCharType="begin"/>
      </w:r>
      <w:r>
        <w:instrText xml:space="preserve"> HYPERLINK \l "_Toc26209" </w:instrText>
      </w:r>
      <w:r>
        <w:fldChar w:fldCharType="separate"/>
      </w:r>
      <w:r>
        <w:t>第</w:t>
      </w:r>
      <w:r>
        <w:rPr>
          <w:rFonts w:hint="eastAsia"/>
        </w:rPr>
        <w:t>五</w:t>
      </w:r>
      <w:r>
        <w:t>节  优化创新生态环境</w:t>
      </w:r>
      <w:r>
        <w:tab/>
      </w:r>
      <w:r>
        <w:fldChar w:fldCharType="begin"/>
      </w:r>
      <w:r>
        <w:instrText xml:space="preserve"> PAGEREF _Toc26209 \h </w:instrText>
      </w:r>
      <w:r>
        <w:fldChar w:fldCharType="separate"/>
      </w:r>
      <w:r>
        <w:t>27</w:t>
      </w:r>
      <w:r>
        <w:fldChar w:fldCharType="end"/>
      </w:r>
      <w:r>
        <w:fldChar w:fldCharType="end"/>
      </w:r>
    </w:p>
    <w:p>
      <w:pPr>
        <w:pStyle w:val="13"/>
        <w:tabs>
          <w:tab w:val="right" w:leader="dot" w:pos="8958"/>
        </w:tabs>
        <w:rPr>
          <w:w w:val="97"/>
        </w:rPr>
      </w:pPr>
      <w:r>
        <w:fldChar w:fldCharType="begin"/>
      </w:r>
      <w:r>
        <w:instrText xml:space="preserve"> HYPERLINK \l "_Toc30549" </w:instrText>
      </w:r>
      <w:r>
        <w:fldChar w:fldCharType="separate"/>
      </w:r>
      <w:r>
        <w:rPr>
          <w:rFonts w:hint="eastAsia" w:ascii="方正小标宋_GBK" w:eastAsia="方正小标宋_GBK"/>
          <w:w w:val="97"/>
          <w:szCs w:val="36"/>
        </w:rPr>
        <w:t>第四章  推动实体经济高质量发展 构建更具竞争力的现代产业体系</w:t>
      </w:r>
      <w:r>
        <w:rPr>
          <w:w w:val="97"/>
        </w:rPr>
        <w:tab/>
      </w:r>
      <w:r>
        <w:rPr>
          <w:w w:val="97"/>
        </w:rPr>
        <w:fldChar w:fldCharType="begin"/>
      </w:r>
      <w:r>
        <w:rPr>
          <w:w w:val="97"/>
        </w:rPr>
        <w:instrText xml:space="preserve"> PAGEREF _Toc30549 \h </w:instrText>
      </w:r>
      <w:r>
        <w:rPr>
          <w:w w:val="97"/>
        </w:rPr>
        <w:fldChar w:fldCharType="separate"/>
      </w:r>
      <w:r>
        <w:rPr>
          <w:w w:val="97"/>
        </w:rPr>
        <w:t>29</w:t>
      </w:r>
      <w:r>
        <w:rPr>
          <w:w w:val="97"/>
        </w:rPr>
        <w:fldChar w:fldCharType="end"/>
      </w:r>
      <w:r>
        <w:rPr>
          <w:w w:val="97"/>
        </w:rPr>
        <w:fldChar w:fldCharType="end"/>
      </w:r>
    </w:p>
    <w:p>
      <w:pPr>
        <w:pStyle w:val="15"/>
        <w:tabs>
          <w:tab w:val="right" w:leader="dot" w:pos="8958"/>
        </w:tabs>
        <w:ind w:firstLine="600"/>
      </w:pPr>
      <w:r>
        <w:fldChar w:fldCharType="begin"/>
      </w:r>
      <w:r>
        <w:instrText xml:space="preserve"> HYPERLINK \l "_Toc14509" </w:instrText>
      </w:r>
      <w:r>
        <w:fldChar w:fldCharType="separate"/>
      </w:r>
      <w:r>
        <w:t>第</w:t>
      </w:r>
      <w:r>
        <w:rPr>
          <w:rFonts w:hint="eastAsia"/>
        </w:rPr>
        <w:t>一</w:t>
      </w:r>
      <w:r>
        <w:t xml:space="preserve">节  </w:t>
      </w:r>
      <w:r>
        <w:rPr>
          <w:rFonts w:hint="eastAsia"/>
        </w:rPr>
        <w:t>重点</w:t>
      </w:r>
      <w:r>
        <w:t>打造</w:t>
      </w:r>
      <w:r>
        <w:rPr>
          <w:rFonts w:hint="eastAsia"/>
        </w:rPr>
        <w:t>“</w:t>
      </w:r>
      <w:r>
        <w:t>2+1</w:t>
      </w:r>
      <w:r>
        <w:rPr>
          <w:rFonts w:hint="eastAsia"/>
        </w:rPr>
        <w:t>”</w:t>
      </w:r>
      <w:r>
        <w:t>产业集群</w:t>
      </w:r>
      <w:r>
        <w:tab/>
      </w:r>
      <w:r>
        <w:fldChar w:fldCharType="begin"/>
      </w:r>
      <w:r>
        <w:instrText xml:space="preserve"> PAGEREF _Toc14509 \h </w:instrText>
      </w:r>
      <w:r>
        <w:fldChar w:fldCharType="separate"/>
      </w:r>
      <w:r>
        <w:t>29</w:t>
      </w:r>
      <w:r>
        <w:fldChar w:fldCharType="end"/>
      </w:r>
      <w:r>
        <w:fldChar w:fldCharType="end"/>
      </w:r>
    </w:p>
    <w:p>
      <w:pPr>
        <w:pStyle w:val="15"/>
        <w:tabs>
          <w:tab w:val="right" w:leader="dot" w:pos="8958"/>
        </w:tabs>
        <w:ind w:firstLine="600"/>
      </w:pPr>
      <w:r>
        <w:fldChar w:fldCharType="begin"/>
      </w:r>
      <w:r>
        <w:instrText xml:space="preserve"> HYPERLINK \l "_Toc17917" </w:instrText>
      </w:r>
      <w:r>
        <w:fldChar w:fldCharType="separate"/>
      </w:r>
      <w:r>
        <w:t>第</w:t>
      </w:r>
      <w:r>
        <w:rPr>
          <w:rFonts w:hint="eastAsia"/>
        </w:rPr>
        <w:t>二</w:t>
      </w:r>
      <w:r>
        <w:t xml:space="preserve">节  </w:t>
      </w:r>
      <w:r>
        <w:rPr>
          <w:rFonts w:hint="eastAsia"/>
        </w:rPr>
        <w:t>加快培育壮大新兴产业</w:t>
      </w:r>
      <w:r>
        <w:tab/>
      </w:r>
      <w:r>
        <w:fldChar w:fldCharType="begin"/>
      </w:r>
      <w:r>
        <w:instrText xml:space="preserve"> PAGEREF _Toc17917 \h </w:instrText>
      </w:r>
      <w:r>
        <w:fldChar w:fldCharType="separate"/>
      </w:r>
      <w:r>
        <w:t>31</w:t>
      </w:r>
      <w:r>
        <w:fldChar w:fldCharType="end"/>
      </w:r>
      <w:r>
        <w:fldChar w:fldCharType="end"/>
      </w:r>
    </w:p>
    <w:p>
      <w:pPr>
        <w:pStyle w:val="15"/>
        <w:tabs>
          <w:tab w:val="right" w:leader="dot" w:pos="8958"/>
        </w:tabs>
        <w:ind w:firstLine="600"/>
      </w:pPr>
      <w:r>
        <w:fldChar w:fldCharType="begin"/>
      </w:r>
      <w:r>
        <w:instrText xml:space="preserve"> HYPERLINK \l "_Toc24630" </w:instrText>
      </w:r>
      <w:r>
        <w:fldChar w:fldCharType="separate"/>
      </w:r>
      <w:r>
        <w:rPr>
          <w:rFonts w:hint="eastAsia"/>
        </w:rPr>
        <w:t>第三节  积极推动海洋经济发展</w:t>
      </w:r>
      <w:r>
        <w:tab/>
      </w:r>
      <w:r>
        <w:fldChar w:fldCharType="begin"/>
      </w:r>
      <w:r>
        <w:instrText xml:space="preserve"> PAGEREF _Toc24630 \h </w:instrText>
      </w:r>
      <w:r>
        <w:fldChar w:fldCharType="separate"/>
      </w:r>
      <w:r>
        <w:t>32</w:t>
      </w:r>
      <w:r>
        <w:fldChar w:fldCharType="end"/>
      </w:r>
      <w:r>
        <w:fldChar w:fldCharType="end"/>
      </w:r>
    </w:p>
    <w:p>
      <w:pPr>
        <w:pStyle w:val="15"/>
        <w:tabs>
          <w:tab w:val="right" w:leader="dot" w:pos="8958"/>
        </w:tabs>
        <w:ind w:firstLine="600"/>
      </w:pPr>
      <w:r>
        <w:fldChar w:fldCharType="begin"/>
      </w:r>
      <w:r>
        <w:instrText xml:space="preserve"> HYPERLINK \l "_Toc26753" </w:instrText>
      </w:r>
      <w:r>
        <w:fldChar w:fldCharType="separate"/>
      </w:r>
      <w:r>
        <w:t>第</w:t>
      </w:r>
      <w:r>
        <w:rPr>
          <w:rFonts w:hint="eastAsia"/>
        </w:rPr>
        <w:t>四</w:t>
      </w:r>
      <w:r>
        <w:t>节  加快推动传统优势产业转型升级</w:t>
      </w:r>
      <w:r>
        <w:tab/>
      </w:r>
      <w:r>
        <w:fldChar w:fldCharType="begin"/>
      </w:r>
      <w:r>
        <w:instrText xml:space="preserve"> PAGEREF _Toc26753 \h </w:instrText>
      </w:r>
      <w:r>
        <w:fldChar w:fldCharType="separate"/>
      </w:r>
      <w:r>
        <w:t>33</w:t>
      </w:r>
      <w:r>
        <w:fldChar w:fldCharType="end"/>
      </w:r>
      <w:r>
        <w:fldChar w:fldCharType="end"/>
      </w:r>
    </w:p>
    <w:p>
      <w:pPr>
        <w:pStyle w:val="15"/>
        <w:tabs>
          <w:tab w:val="right" w:leader="dot" w:pos="8958"/>
        </w:tabs>
        <w:ind w:firstLine="600"/>
      </w:pPr>
      <w:r>
        <w:fldChar w:fldCharType="begin"/>
      </w:r>
      <w:r>
        <w:instrText xml:space="preserve"> HYPERLINK \l "_Toc12909" </w:instrText>
      </w:r>
      <w:r>
        <w:fldChar w:fldCharType="separate"/>
      </w:r>
      <w:r>
        <w:t>第</w:t>
      </w:r>
      <w:r>
        <w:rPr>
          <w:rFonts w:hint="eastAsia"/>
        </w:rPr>
        <w:t>五</w:t>
      </w:r>
      <w:r>
        <w:t xml:space="preserve">节  </w:t>
      </w:r>
      <w:r>
        <w:rPr>
          <w:rFonts w:hint="eastAsia"/>
        </w:rPr>
        <w:t>促进</w:t>
      </w:r>
      <w:r>
        <w:t>现代服务业</w:t>
      </w:r>
      <w:r>
        <w:rPr>
          <w:rFonts w:hint="eastAsia"/>
        </w:rPr>
        <w:t>与制造业融合发展</w:t>
      </w:r>
      <w:r>
        <w:tab/>
      </w:r>
      <w:r>
        <w:fldChar w:fldCharType="begin"/>
      </w:r>
      <w:r>
        <w:instrText xml:space="preserve"> PAGEREF _Toc12909 \h </w:instrText>
      </w:r>
      <w:r>
        <w:fldChar w:fldCharType="separate"/>
      </w:r>
      <w:r>
        <w:t>34</w:t>
      </w:r>
      <w:r>
        <w:fldChar w:fldCharType="end"/>
      </w:r>
      <w:r>
        <w:fldChar w:fldCharType="end"/>
      </w:r>
    </w:p>
    <w:p>
      <w:pPr>
        <w:pStyle w:val="15"/>
        <w:tabs>
          <w:tab w:val="right" w:leader="dot" w:pos="8958"/>
        </w:tabs>
        <w:ind w:firstLine="600"/>
      </w:pPr>
      <w:r>
        <w:fldChar w:fldCharType="begin"/>
      </w:r>
      <w:r>
        <w:instrText xml:space="preserve"> HYPERLINK \l "_Toc13615" </w:instrText>
      </w:r>
      <w:r>
        <w:fldChar w:fldCharType="separate"/>
      </w:r>
      <w:r>
        <w:t>第</w:t>
      </w:r>
      <w:r>
        <w:rPr>
          <w:rFonts w:hint="eastAsia"/>
        </w:rPr>
        <w:t>六</w:t>
      </w:r>
      <w:r>
        <w:t>节  推</w:t>
      </w:r>
      <w:r>
        <w:rPr>
          <w:rFonts w:hint="eastAsia"/>
        </w:rPr>
        <w:t>进</w:t>
      </w:r>
      <w:r>
        <w:t>产业园区</w:t>
      </w:r>
      <w:r>
        <w:rPr>
          <w:rFonts w:hint="eastAsia"/>
        </w:rPr>
        <w:t>提质</w:t>
      </w:r>
      <w:r>
        <w:t>增效</w:t>
      </w:r>
      <w:r>
        <w:tab/>
      </w:r>
      <w:r>
        <w:fldChar w:fldCharType="begin"/>
      </w:r>
      <w:r>
        <w:instrText xml:space="preserve"> PAGEREF _Toc13615 \h </w:instrText>
      </w:r>
      <w:r>
        <w:fldChar w:fldCharType="separate"/>
      </w:r>
      <w:r>
        <w:t>36</w:t>
      </w:r>
      <w:r>
        <w:fldChar w:fldCharType="end"/>
      </w:r>
      <w:r>
        <w:fldChar w:fldCharType="end"/>
      </w:r>
    </w:p>
    <w:p>
      <w:pPr>
        <w:pStyle w:val="15"/>
        <w:tabs>
          <w:tab w:val="right" w:leader="dot" w:pos="8958"/>
        </w:tabs>
        <w:ind w:firstLine="600"/>
      </w:pPr>
      <w:r>
        <w:fldChar w:fldCharType="begin"/>
      </w:r>
      <w:r>
        <w:instrText xml:space="preserve"> HYPERLINK \l "_Toc12419" </w:instrText>
      </w:r>
      <w:r>
        <w:fldChar w:fldCharType="separate"/>
      </w:r>
      <w:r>
        <w:t>第</w:t>
      </w:r>
      <w:r>
        <w:rPr>
          <w:rFonts w:hint="eastAsia"/>
        </w:rPr>
        <w:t>七</w:t>
      </w:r>
      <w:r>
        <w:t xml:space="preserve">节  </w:t>
      </w:r>
      <w:r>
        <w:rPr>
          <w:rFonts w:hint="eastAsia"/>
        </w:rPr>
        <w:t>加快推进</w:t>
      </w:r>
      <w:r>
        <w:t>质量强市建设</w:t>
      </w:r>
      <w:r>
        <w:tab/>
      </w:r>
      <w:r>
        <w:fldChar w:fldCharType="begin"/>
      </w:r>
      <w:r>
        <w:instrText xml:space="preserve"> PAGEREF _Toc12419 \h </w:instrText>
      </w:r>
      <w:r>
        <w:fldChar w:fldCharType="separate"/>
      </w:r>
      <w:r>
        <w:t>39</w:t>
      </w:r>
      <w:r>
        <w:fldChar w:fldCharType="end"/>
      </w:r>
      <w:r>
        <w:fldChar w:fldCharType="end"/>
      </w:r>
    </w:p>
    <w:p>
      <w:pPr>
        <w:pStyle w:val="13"/>
        <w:tabs>
          <w:tab w:val="right" w:leader="dot" w:pos="8958"/>
        </w:tabs>
      </w:pPr>
      <w:r>
        <w:fldChar w:fldCharType="begin"/>
      </w:r>
      <w:r>
        <w:instrText xml:space="preserve"> HYPERLINK \l "_Toc1069" </w:instrText>
      </w:r>
      <w:r>
        <w:fldChar w:fldCharType="separate"/>
      </w:r>
      <w:r>
        <w:rPr>
          <w:rFonts w:hint="eastAsia" w:ascii="方正小标宋_GBK" w:eastAsia="方正小标宋_GBK"/>
          <w:szCs w:val="36"/>
        </w:rPr>
        <w:t>第五章  大力推动数字化发展 赋能国内一流城市建设</w:t>
      </w:r>
      <w:r>
        <w:tab/>
      </w:r>
      <w:r>
        <w:fldChar w:fldCharType="begin"/>
      </w:r>
      <w:r>
        <w:instrText xml:space="preserve"> PAGEREF _Toc1069 \h </w:instrText>
      </w:r>
      <w:r>
        <w:fldChar w:fldCharType="separate"/>
      </w:r>
      <w:r>
        <w:t>41</w:t>
      </w:r>
      <w:r>
        <w:fldChar w:fldCharType="end"/>
      </w:r>
      <w:r>
        <w:fldChar w:fldCharType="end"/>
      </w:r>
    </w:p>
    <w:p>
      <w:pPr>
        <w:pStyle w:val="15"/>
        <w:tabs>
          <w:tab w:val="right" w:leader="dot" w:pos="8958"/>
        </w:tabs>
        <w:ind w:firstLine="600"/>
      </w:pPr>
      <w:r>
        <w:fldChar w:fldCharType="begin"/>
      </w:r>
      <w:r>
        <w:instrText xml:space="preserve"> HYPERLINK \l "_Toc1779" </w:instrText>
      </w:r>
      <w:r>
        <w:fldChar w:fldCharType="separate"/>
      </w:r>
      <w:r>
        <w:t xml:space="preserve">第一节  </w:t>
      </w:r>
      <w:r>
        <w:rPr>
          <w:rFonts w:hint="eastAsia"/>
        </w:rPr>
        <w:t>大力发展数字经济</w:t>
      </w:r>
      <w:r>
        <w:tab/>
      </w:r>
      <w:r>
        <w:fldChar w:fldCharType="begin"/>
      </w:r>
      <w:r>
        <w:instrText xml:space="preserve"> PAGEREF _Toc1779 \h </w:instrText>
      </w:r>
      <w:r>
        <w:fldChar w:fldCharType="separate"/>
      </w:r>
      <w:r>
        <w:t>41</w:t>
      </w:r>
      <w:r>
        <w:fldChar w:fldCharType="end"/>
      </w:r>
      <w:r>
        <w:fldChar w:fldCharType="end"/>
      </w:r>
    </w:p>
    <w:p>
      <w:pPr>
        <w:pStyle w:val="15"/>
        <w:tabs>
          <w:tab w:val="right" w:leader="dot" w:pos="8958"/>
        </w:tabs>
        <w:ind w:firstLine="600"/>
      </w:pPr>
      <w:r>
        <w:fldChar w:fldCharType="begin"/>
      </w:r>
      <w:r>
        <w:instrText xml:space="preserve"> HYPERLINK \l "_Toc22850" </w:instrText>
      </w:r>
      <w:r>
        <w:fldChar w:fldCharType="separate"/>
      </w:r>
      <w:r>
        <w:rPr>
          <w:rFonts w:hint="eastAsia"/>
        </w:rPr>
        <w:t>第二节  加快数字社会建设步伐</w:t>
      </w:r>
      <w:r>
        <w:tab/>
      </w:r>
      <w:r>
        <w:fldChar w:fldCharType="begin"/>
      </w:r>
      <w:r>
        <w:instrText xml:space="preserve"> PAGEREF _Toc22850 \h </w:instrText>
      </w:r>
      <w:r>
        <w:fldChar w:fldCharType="separate"/>
      </w:r>
      <w:r>
        <w:t>43</w:t>
      </w:r>
      <w:r>
        <w:fldChar w:fldCharType="end"/>
      </w:r>
      <w:r>
        <w:fldChar w:fldCharType="end"/>
      </w:r>
    </w:p>
    <w:p>
      <w:pPr>
        <w:pStyle w:val="15"/>
        <w:tabs>
          <w:tab w:val="right" w:leader="dot" w:pos="8958"/>
        </w:tabs>
        <w:ind w:firstLine="600"/>
      </w:pPr>
      <w:r>
        <w:fldChar w:fldCharType="begin"/>
      </w:r>
      <w:r>
        <w:instrText xml:space="preserve"> HYPERLINK \l "_Toc5788" </w:instrText>
      </w:r>
      <w:r>
        <w:fldChar w:fldCharType="separate"/>
      </w:r>
      <w:r>
        <w:rPr>
          <w:rFonts w:hint="eastAsia"/>
        </w:rPr>
        <w:t>第三节  建设更高水平数字政府</w:t>
      </w:r>
      <w:r>
        <w:tab/>
      </w:r>
      <w:r>
        <w:fldChar w:fldCharType="begin"/>
      </w:r>
      <w:r>
        <w:instrText xml:space="preserve"> PAGEREF _Toc5788 \h </w:instrText>
      </w:r>
      <w:r>
        <w:fldChar w:fldCharType="separate"/>
      </w:r>
      <w:r>
        <w:t>44</w:t>
      </w:r>
      <w:r>
        <w:fldChar w:fldCharType="end"/>
      </w:r>
      <w:r>
        <w:fldChar w:fldCharType="end"/>
      </w:r>
    </w:p>
    <w:p>
      <w:pPr>
        <w:pStyle w:val="15"/>
        <w:tabs>
          <w:tab w:val="right" w:leader="dot" w:pos="8958"/>
        </w:tabs>
        <w:ind w:firstLine="600"/>
      </w:pPr>
      <w:r>
        <w:fldChar w:fldCharType="begin"/>
      </w:r>
      <w:r>
        <w:instrText xml:space="preserve"> HYPERLINK \l "_Toc13612" </w:instrText>
      </w:r>
      <w:r>
        <w:fldChar w:fldCharType="separate"/>
      </w:r>
      <w:r>
        <w:rPr>
          <w:rFonts w:hint="eastAsia"/>
        </w:rPr>
        <w:t>第四节  优化数据要素配置体系</w:t>
      </w:r>
      <w:r>
        <w:tab/>
      </w:r>
      <w:r>
        <w:fldChar w:fldCharType="begin"/>
      </w:r>
      <w:r>
        <w:instrText xml:space="preserve"> PAGEREF _Toc13612 \h </w:instrText>
      </w:r>
      <w:r>
        <w:fldChar w:fldCharType="separate"/>
      </w:r>
      <w:r>
        <w:t>45</w:t>
      </w:r>
      <w:r>
        <w:fldChar w:fldCharType="end"/>
      </w:r>
      <w:r>
        <w:fldChar w:fldCharType="end"/>
      </w:r>
    </w:p>
    <w:p>
      <w:pPr>
        <w:pStyle w:val="13"/>
        <w:tabs>
          <w:tab w:val="right" w:leader="dot" w:pos="8958"/>
        </w:tabs>
      </w:pPr>
      <w:r>
        <w:fldChar w:fldCharType="begin"/>
      </w:r>
      <w:r>
        <w:instrText xml:space="preserve"> HYPERLINK \l "_Toc15187" </w:instrText>
      </w:r>
      <w:r>
        <w:fldChar w:fldCharType="separate"/>
      </w:r>
      <w:r>
        <w:rPr>
          <w:rFonts w:hint="eastAsia" w:ascii="方正小标宋_GBK" w:eastAsia="方正小标宋_GBK"/>
          <w:szCs w:val="36"/>
        </w:rPr>
        <w:t>第六章  建设现代化基础设施体系 支撑跨越式发展</w:t>
      </w:r>
      <w:r>
        <w:tab/>
      </w:r>
      <w:r>
        <w:fldChar w:fldCharType="begin"/>
      </w:r>
      <w:r>
        <w:instrText xml:space="preserve"> PAGEREF _Toc15187 \h </w:instrText>
      </w:r>
      <w:r>
        <w:fldChar w:fldCharType="separate"/>
      </w:r>
      <w:r>
        <w:t>46</w:t>
      </w:r>
      <w:r>
        <w:fldChar w:fldCharType="end"/>
      </w:r>
      <w:r>
        <w:fldChar w:fldCharType="end"/>
      </w:r>
    </w:p>
    <w:p>
      <w:pPr>
        <w:pStyle w:val="15"/>
        <w:tabs>
          <w:tab w:val="right" w:leader="dot" w:pos="8958"/>
        </w:tabs>
        <w:ind w:firstLine="600"/>
      </w:pPr>
      <w:r>
        <w:fldChar w:fldCharType="begin"/>
      </w:r>
      <w:r>
        <w:instrText xml:space="preserve"> HYPERLINK \l "_Toc4682" </w:instrText>
      </w:r>
      <w:r>
        <w:fldChar w:fldCharType="separate"/>
      </w:r>
      <w:r>
        <w:t xml:space="preserve">第一节  </w:t>
      </w:r>
      <w:r>
        <w:rPr>
          <w:rFonts w:hint="eastAsia"/>
        </w:rPr>
        <w:t>建设</w:t>
      </w:r>
      <w:r>
        <w:t>综合交通运输体系</w:t>
      </w:r>
      <w:r>
        <w:tab/>
      </w:r>
      <w:r>
        <w:fldChar w:fldCharType="begin"/>
      </w:r>
      <w:r>
        <w:instrText xml:space="preserve"> PAGEREF _Toc4682 \h </w:instrText>
      </w:r>
      <w:r>
        <w:fldChar w:fldCharType="separate"/>
      </w:r>
      <w:r>
        <w:t>46</w:t>
      </w:r>
      <w:r>
        <w:fldChar w:fldCharType="end"/>
      </w:r>
      <w:r>
        <w:fldChar w:fldCharType="end"/>
      </w:r>
    </w:p>
    <w:p>
      <w:pPr>
        <w:pStyle w:val="15"/>
        <w:tabs>
          <w:tab w:val="right" w:leader="dot" w:pos="8958"/>
        </w:tabs>
        <w:ind w:firstLine="600"/>
      </w:pPr>
      <w:r>
        <w:fldChar w:fldCharType="begin"/>
      </w:r>
      <w:r>
        <w:instrText xml:space="preserve"> HYPERLINK \l "_Toc25682" </w:instrText>
      </w:r>
      <w:r>
        <w:fldChar w:fldCharType="separate"/>
      </w:r>
      <w:r>
        <w:t xml:space="preserve">第二节  </w:t>
      </w:r>
      <w:r>
        <w:rPr>
          <w:rFonts w:hint="eastAsia"/>
        </w:rPr>
        <w:t>构建</w:t>
      </w:r>
      <w:r>
        <w:t>便捷高效交通网络</w:t>
      </w:r>
      <w:r>
        <w:tab/>
      </w:r>
      <w:r>
        <w:fldChar w:fldCharType="begin"/>
      </w:r>
      <w:r>
        <w:instrText xml:space="preserve"> PAGEREF _Toc25682 \h </w:instrText>
      </w:r>
      <w:r>
        <w:fldChar w:fldCharType="separate"/>
      </w:r>
      <w:r>
        <w:t>49</w:t>
      </w:r>
      <w:r>
        <w:fldChar w:fldCharType="end"/>
      </w:r>
      <w:r>
        <w:fldChar w:fldCharType="end"/>
      </w:r>
    </w:p>
    <w:p>
      <w:pPr>
        <w:pStyle w:val="15"/>
        <w:tabs>
          <w:tab w:val="right" w:leader="dot" w:pos="8958"/>
        </w:tabs>
        <w:ind w:firstLine="600"/>
      </w:pPr>
      <w:r>
        <w:fldChar w:fldCharType="begin"/>
      </w:r>
      <w:r>
        <w:instrText xml:space="preserve"> HYPERLINK \l "_Toc28639" </w:instrText>
      </w:r>
      <w:r>
        <w:fldChar w:fldCharType="separate"/>
      </w:r>
      <w:r>
        <w:t>第</w:t>
      </w:r>
      <w:r>
        <w:rPr>
          <w:rFonts w:hint="eastAsia"/>
        </w:rPr>
        <w:t>三</w:t>
      </w:r>
      <w:r>
        <w:t>节  推进新型基础设施建设</w:t>
      </w:r>
      <w:r>
        <w:tab/>
      </w:r>
      <w:r>
        <w:fldChar w:fldCharType="begin"/>
      </w:r>
      <w:r>
        <w:instrText xml:space="preserve"> PAGEREF _Toc28639 \h </w:instrText>
      </w:r>
      <w:r>
        <w:fldChar w:fldCharType="separate"/>
      </w:r>
      <w:r>
        <w:t>53</w:t>
      </w:r>
      <w:r>
        <w:fldChar w:fldCharType="end"/>
      </w:r>
      <w:r>
        <w:fldChar w:fldCharType="end"/>
      </w:r>
    </w:p>
    <w:p>
      <w:pPr>
        <w:pStyle w:val="15"/>
        <w:tabs>
          <w:tab w:val="right" w:leader="dot" w:pos="8958"/>
        </w:tabs>
        <w:ind w:firstLine="600"/>
      </w:pPr>
      <w:r>
        <w:fldChar w:fldCharType="begin"/>
      </w:r>
      <w:r>
        <w:instrText xml:space="preserve"> HYPERLINK \l "_Toc29949" </w:instrText>
      </w:r>
      <w:r>
        <w:fldChar w:fldCharType="separate"/>
      </w:r>
      <w:r>
        <w:t>第</w:t>
      </w:r>
      <w:r>
        <w:rPr>
          <w:rFonts w:hint="eastAsia"/>
        </w:rPr>
        <w:t>四</w:t>
      </w:r>
      <w:r>
        <w:t xml:space="preserve">节  </w:t>
      </w:r>
      <w:r>
        <w:rPr>
          <w:rFonts w:hint="eastAsia"/>
        </w:rPr>
        <w:t>完善</w:t>
      </w:r>
      <w:r>
        <w:t>现代能源保障体系</w:t>
      </w:r>
      <w:r>
        <w:tab/>
      </w:r>
      <w:r>
        <w:fldChar w:fldCharType="begin"/>
      </w:r>
      <w:r>
        <w:instrText xml:space="preserve"> PAGEREF _Toc29949 \h </w:instrText>
      </w:r>
      <w:r>
        <w:fldChar w:fldCharType="separate"/>
      </w:r>
      <w:r>
        <w:t>54</w:t>
      </w:r>
      <w:r>
        <w:fldChar w:fldCharType="end"/>
      </w:r>
      <w:r>
        <w:fldChar w:fldCharType="end"/>
      </w:r>
    </w:p>
    <w:p>
      <w:pPr>
        <w:pStyle w:val="15"/>
        <w:tabs>
          <w:tab w:val="right" w:leader="dot" w:pos="8958"/>
        </w:tabs>
        <w:ind w:firstLine="600"/>
      </w:pPr>
      <w:r>
        <w:fldChar w:fldCharType="begin"/>
      </w:r>
      <w:r>
        <w:instrText xml:space="preserve"> HYPERLINK \l "_Toc10307" </w:instrText>
      </w:r>
      <w:r>
        <w:fldChar w:fldCharType="separate"/>
      </w:r>
      <w:r>
        <w:t>第</w:t>
      </w:r>
      <w:r>
        <w:rPr>
          <w:rFonts w:hint="eastAsia"/>
        </w:rPr>
        <w:t>五</w:t>
      </w:r>
      <w:r>
        <w:t xml:space="preserve">节  </w:t>
      </w:r>
      <w:r>
        <w:rPr>
          <w:rFonts w:hint="eastAsia"/>
        </w:rPr>
        <w:t>建设</w:t>
      </w:r>
      <w:r>
        <w:t>水利保障体系</w:t>
      </w:r>
      <w:r>
        <w:tab/>
      </w:r>
      <w:r>
        <w:fldChar w:fldCharType="begin"/>
      </w:r>
      <w:r>
        <w:instrText xml:space="preserve"> PAGEREF _Toc10307 \h </w:instrText>
      </w:r>
      <w:r>
        <w:fldChar w:fldCharType="separate"/>
      </w:r>
      <w:r>
        <w:t>55</w:t>
      </w:r>
      <w:r>
        <w:fldChar w:fldCharType="end"/>
      </w:r>
      <w:r>
        <w:fldChar w:fldCharType="end"/>
      </w:r>
    </w:p>
    <w:p>
      <w:pPr>
        <w:pStyle w:val="13"/>
        <w:tabs>
          <w:tab w:val="right" w:leader="dot" w:pos="8958"/>
        </w:tabs>
      </w:pPr>
      <w:r>
        <w:fldChar w:fldCharType="begin"/>
      </w:r>
      <w:r>
        <w:instrText xml:space="preserve"> HYPERLINK \l "_Toc22725" </w:instrText>
      </w:r>
      <w:r>
        <w:fldChar w:fldCharType="separate"/>
      </w:r>
      <w:r>
        <w:rPr>
          <w:rFonts w:hint="eastAsia" w:ascii="方正小标宋_GBK" w:eastAsia="方正小标宋_GBK"/>
          <w:szCs w:val="36"/>
        </w:rPr>
        <w:t>第七章  积极融入新发展格局 培育高质量发展新动能</w:t>
      </w:r>
      <w:r>
        <w:tab/>
      </w:r>
      <w:r>
        <w:fldChar w:fldCharType="begin"/>
      </w:r>
      <w:r>
        <w:instrText xml:space="preserve"> PAGEREF _Toc22725 \h </w:instrText>
      </w:r>
      <w:r>
        <w:fldChar w:fldCharType="separate"/>
      </w:r>
      <w:r>
        <w:t>56</w:t>
      </w:r>
      <w:r>
        <w:fldChar w:fldCharType="end"/>
      </w:r>
      <w:r>
        <w:fldChar w:fldCharType="end"/>
      </w:r>
    </w:p>
    <w:p>
      <w:pPr>
        <w:pStyle w:val="15"/>
        <w:tabs>
          <w:tab w:val="right" w:leader="dot" w:pos="8958"/>
        </w:tabs>
        <w:ind w:firstLine="600"/>
      </w:pPr>
      <w:r>
        <w:fldChar w:fldCharType="begin"/>
      </w:r>
      <w:r>
        <w:instrText xml:space="preserve"> HYPERLINK \l "_Toc29108" </w:instrText>
      </w:r>
      <w:r>
        <w:fldChar w:fldCharType="separate"/>
      </w:r>
      <w:r>
        <w:rPr>
          <w:rFonts w:hint="eastAsia"/>
        </w:rPr>
        <w:t>第一节  持续扩大有效投资</w:t>
      </w:r>
      <w:r>
        <w:tab/>
      </w:r>
      <w:r>
        <w:fldChar w:fldCharType="begin"/>
      </w:r>
      <w:r>
        <w:instrText xml:space="preserve"> PAGEREF _Toc29108 \h </w:instrText>
      </w:r>
      <w:r>
        <w:fldChar w:fldCharType="separate"/>
      </w:r>
      <w:r>
        <w:t>56</w:t>
      </w:r>
      <w:r>
        <w:fldChar w:fldCharType="end"/>
      </w:r>
      <w:r>
        <w:fldChar w:fldCharType="end"/>
      </w:r>
    </w:p>
    <w:p>
      <w:pPr>
        <w:pStyle w:val="15"/>
        <w:tabs>
          <w:tab w:val="right" w:leader="dot" w:pos="8958"/>
        </w:tabs>
        <w:ind w:firstLine="600"/>
      </w:pPr>
      <w:r>
        <w:fldChar w:fldCharType="begin"/>
      </w:r>
      <w:r>
        <w:instrText xml:space="preserve"> HYPERLINK \l "_Toc19254" </w:instrText>
      </w:r>
      <w:r>
        <w:fldChar w:fldCharType="separate"/>
      </w:r>
      <w:r>
        <w:rPr>
          <w:rFonts w:hint="eastAsia"/>
        </w:rPr>
        <w:t>第二节</w:t>
      </w:r>
      <w:r>
        <w:t xml:space="preserve"> </w:t>
      </w:r>
      <w:r>
        <w:rPr>
          <w:rFonts w:hint="eastAsia"/>
        </w:rPr>
        <w:t xml:space="preserve"> </w:t>
      </w:r>
      <w:r>
        <w:t>推动消费扩容提质</w:t>
      </w:r>
      <w:r>
        <w:tab/>
      </w:r>
      <w:r>
        <w:fldChar w:fldCharType="begin"/>
      </w:r>
      <w:r>
        <w:instrText xml:space="preserve"> PAGEREF _Toc19254 \h </w:instrText>
      </w:r>
      <w:r>
        <w:fldChar w:fldCharType="separate"/>
      </w:r>
      <w:r>
        <w:t>57</w:t>
      </w:r>
      <w:r>
        <w:fldChar w:fldCharType="end"/>
      </w:r>
      <w:r>
        <w:fldChar w:fldCharType="end"/>
      </w:r>
    </w:p>
    <w:p>
      <w:pPr>
        <w:pStyle w:val="15"/>
        <w:tabs>
          <w:tab w:val="right" w:leader="dot" w:pos="8958"/>
        </w:tabs>
        <w:ind w:firstLine="600"/>
      </w:pPr>
      <w:r>
        <w:fldChar w:fldCharType="begin"/>
      </w:r>
      <w:r>
        <w:instrText xml:space="preserve"> HYPERLINK \l "_Toc9903" </w:instrText>
      </w:r>
      <w:r>
        <w:fldChar w:fldCharType="separate"/>
      </w:r>
      <w:r>
        <w:t>第</w:t>
      </w:r>
      <w:r>
        <w:rPr>
          <w:rFonts w:hint="eastAsia"/>
        </w:rPr>
        <w:t>三</w:t>
      </w:r>
      <w:r>
        <w:t xml:space="preserve">节  </w:t>
      </w:r>
      <w:r>
        <w:rPr>
          <w:rFonts w:hint="eastAsia"/>
        </w:rPr>
        <w:t>推动更高水平对外开放</w:t>
      </w:r>
      <w:r>
        <w:tab/>
      </w:r>
      <w:r>
        <w:fldChar w:fldCharType="begin"/>
      </w:r>
      <w:r>
        <w:instrText xml:space="preserve"> PAGEREF _Toc9903 \h </w:instrText>
      </w:r>
      <w:r>
        <w:fldChar w:fldCharType="separate"/>
      </w:r>
      <w:r>
        <w:t>58</w:t>
      </w:r>
      <w:r>
        <w:fldChar w:fldCharType="end"/>
      </w:r>
      <w:r>
        <w:fldChar w:fldCharType="end"/>
      </w:r>
    </w:p>
    <w:p>
      <w:pPr>
        <w:pStyle w:val="15"/>
        <w:tabs>
          <w:tab w:val="right" w:leader="dot" w:pos="8958"/>
        </w:tabs>
        <w:ind w:firstLine="600"/>
      </w:pPr>
      <w:r>
        <w:fldChar w:fldCharType="begin"/>
      </w:r>
      <w:r>
        <w:instrText xml:space="preserve"> HYPERLINK \l "_Toc7545" </w:instrText>
      </w:r>
      <w:r>
        <w:fldChar w:fldCharType="separate"/>
      </w:r>
      <w:r>
        <w:t>第</w:t>
      </w:r>
      <w:r>
        <w:rPr>
          <w:rFonts w:hint="eastAsia"/>
        </w:rPr>
        <w:t>四</w:t>
      </w:r>
      <w:r>
        <w:t xml:space="preserve">节  </w:t>
      </w:r>
      <w:r>
        <w:rPr>
          <w:rFonts w:hint="eastAsia"/>
        </w:rPr>
        <w:t>全面融入“双循环”新发展格局</w:t>
      </w:r>
      <w:r>
        <w:tab/>
      </w:r>
      <w:r>
        <w:fldChar w:fldCharType="begin"/>
      </w:r>
      <w:r>
        <w:instrText xml:space="preserve"> PAGEREF _Toc7545 \h </w:instrText>
      </w:r>
      <w:r>
        <w:fldChar w:fldCharType="separate"/>
      </w:r>
      <w:r>
        <w:t>60</w:t>
      </w:r>
      <w:r>
        <w:fldChar w:fldCharType="end"/>
      </w:r>
      <w:r>
        <w:fldChar w:fldCharType="end"/>
      </w:r>
    </w:p>
    <w:p>
      <w:pPr>
        <w:pStyle w:val="13"/>
        <w:tabs>
          <w:tab w:val="right" w:leader="dot" w:pos="8958"/>
        </w:tabs>
      </w:pPr>
      <w:r>
        <w:fldChar w:fldCharType="begin"/>
      </w:r>
      <w:r>
        <w:instrText xml:space="preserve"> HYPERLINK \l "_Toc6637" </w:instrText>
      </w:r>
      <w:r>
        <w:fldChar w:fldCharType="separate"/>
      </w:r>
      <w:r>
        <w:rPr>
          <w:rFonts w:hint="eastAsia" w:ascii="方正小标宋_GBK" w:eastAsia="方正小标宋_GBK"/>
          <w:szCs w:val="36"/>
        </w:rPr>
        <w:t>第八章  推动更深层次改革 激发高质量发展新活力</w:t>
      </w:r>
      <w:r>
        <w:tab/>
      </w:r>
      <w:r>
        <w:fldChar w:fldCharType="begin"/>
      </w:r>
      <w:r>
        <w:instrText xml:space="preserve"> PAGEREF _Toc6637 \h </w:instrText>
      </w:r>
      <w:r>
        <w:fldChar w:fldCharType="separate"/>
      </w:r>
      <w:r>
        <w:t>62</w:t>
      </w:r>
      <w:r>
        <w:fldChar w:fldCharType="end"/>
      </w:r>
      <w:r>
        <w:fldChar w:fldCharType="end"/>
      </w:r>
    </w:p>
    <w:p>
      <w:pPr>
        <w:pStyle w:val="15"/>
        <w:tabs>
          <w:tab w:val="right" w:leader="dot" w:pos="8958"/>
        </w:tabs>
        <w:ind w:firstLine="600"/>
      </w:pPr>
      <w:r>
        <w:fldChar w:fldCharType="begin"/>
      </w:r>
      <w:r>
        <w:instrText xml:space="preserve"> HYPERLINK \l "_Toc19657" </w:instrText>
      </w:r>
      <w:r>
        <w:fldChar w:fldCharType="separate"/>
      </w:r>
      <w:r>
        <w:rPr>
          <w:rFonts w:hint="eastAsia"/>
        </w:rPr>
        <w:t>第一节  建设高标准市场体系</w:t>
      </w:r>
      <w:r>
        <w:tab/>
      </w:r>
      <w:r>
        <w:fldChar w:fldCharType="begin"/>
      </w:r>
      <w:r>
        <w:instrText xml:space="preserve"> PAGEREF _Toc19657 \h </w:instrText>
      </w:r>
      <w:r>
        <w:fldChar w:fldCharType="separate"/>
      </w:r>
      <w:r>
        <w:t>62</w:t>
      </w:r>
      <w:r>
        <w:fldChar w:fldCharType="end"/>
      </w:r>
      <w:r>
        <w:fldChar w:fldCharType="end"/>
      </w:r>
    </w:p>
    <w:p>
      <w:pPr>
        <w:pStyle w:val="15"/>
        <w:tabs>
          <w:tab w:val="right" w:leader="dot" w:pos="8958"/>
        </w:tabs>
        <w:ind w:firstLine="600"/>
      </w:pPr>
      <w:r>
        <w:fldChar w:fldCharType="begin"/>
      </w:r>
      <w:r>
        <w:instrText xml:space="preserve"> HYPERLINK \l "_Toc7039" </w:instrText>
      </w:r>
      <w:r>
        <w:fldChar w:fldCharType="separate"/>
      </w:r>
      <w:r>
        <w:rPr>
          <w:rFonts w:hint="eastAsia"/>
        </w:rPr>
        <w:t>第二节</w:t>
      </w:r>
      <w:r>
        <w:t xml:space="preserve">  </w:t>
      </w:r>
      <w:r>
        <w:rPr>
          <w:rFonts w:hint="eastAsia"/>
        </w:rPr>
        <w:t>推进要素市场化配置改革</w:t>
      </w:r>
      <w:r>
        <w:tab/>
      </w:r>
      <w:r>
        <w:fldChar w:fldCharType="begin"/>
      </w:r>
      <w:r>
        <w:instrText xml:space="preserve"> PAGEREF _Toc7039 \h </w:instrText>
      </w:r>
      <w:r>
        <w:fldChar w:fldCharType="separate"/>
      </w:r>
      <w:r>
        <w:t>64</w:t>
      </w:r>
      <w:r>
        <w:fldChar w:fldCharType="end"/>
      </w:r>
      <w:r>
        <w:fldChar w:fldCharType="end"/>
      </w:r>
    </w:p>
    <w:p>
      <w:pPr>
        <w:pStyle w:val="15"/>
        <w:tabs>
          <w:tab w:val="right" w:leader="dot" w:pos="8958"/>
        </w:tabs>
        <w:ind w:firstLine="600"/>
      </w:pPr>
      <w:r>
        <w:fldChar w:fldCharType="begin"/>
      </w:r>
      <w:r>
        <w:instrText xml:space="preserve"> HYPERLINK \l "_Toc6572" </w:instrText>
      </w:r>
      <w:r>
        <w:fldChar w:fldCharType="separate"/>
      </w:r>
      <w:r>
        <w:t>第</w:t>
      </w:r>
      <w:r>
        <w:rPr>
          <w:rFonts w:hint="eastAsia"/>
        </w:rPr>
        <w:t>三</w:t>
      </w:r>
      <w:r>
        <w:t xml:space="preserve">节 </w:t>
      </w:r>
      <w:r>
        <w:rPr>
          <w:rFonts w:hint="eastAsia"/>
        </w:rPr>
        <w:t xml:space="preserve"> 深化营商环境综合改革</w:t>
      </w:r>
      <w:r>
        <w:tab/>
      </w:r>
      <w:r>
        <w:fldChar w:fldCharType="begin"/>
      </w:r>
      <w:r>
        <w:instrText xml:space="preserve"> PAGEREF _Toc6572 \h </w:instrText>
      </w:r>
      <w:r>
        <w:fldChar w:fldCharType="separate"/>
      </w:r>
      <w:r>
        <w:t>67</w:t>
      </w:r>
      <w:r>
        <w:fldChar w:fldCharType="end"/>
      </w:r>
      <w:r>
        <w:fldChar w:fldCharType="end"/>
      </w:r>
    </w:p>
    <w:p>
      <w:pPr>
        <w:pStyle w:val="13"/>
        <w:tabs>
          <w:tab w:val="right" w:leader="dot" w:pos="8958"/>
        </w:tabs>
        <w:rPr>
          <w:w w:val="95"/>
        </w:rPr>
      </w:pPr>
      <w:r>
        <w:fldChar w:fldCharType="begin"/>
      </w:r>
      <w:r>
        <w:instrText xml:space="preserve"> HYPERLINK \l "_Toc16291" </w:instrText>
      </w:r>
      <w:r>
        <w:fldChar w:fldCharType="separate"/>
      </w:r>
      <w:r>
        <w:rPr>
          <w:rFonts w:hint="eastAsia" w:ascii="方正小标宋_GBK" w:eastAsia="方正小标宋_GBK"/>
          <w:w w:val="95"/>
          <w:szCs w:val="36"/>
        </w:rPr>
        <w:t>第九章  强化“双区”引领 深度融入“一核一带一区”区域发展格局</w:t>
      </w:r>
      <w:r>
        <w:rPr>
          <w:w w:val="95"/>
        </w:rPr>
        <w:tab/>
      </w:r>
      <w:r>
        <w:rPr>
          <w:w w:val="95"/>
        </w:rPr>
        <w:fldChar w:fldCharType="begin"/>
      </w:r>
      <w:r>
        <w:rPr>
          <w:w w:val="95"/>
        </w:rPr>
        <w:instrText xml:space="preserve"> PAGEREF _Toc16291 \h </w:instrText>
      </w:r>
      <w:r>
        <w:rPr>
          <w:w w:val="95"/>
        </w:rPr>
        <w:fldChar w:fldCharType="separate"/>
      </w:r>
      <w:r>
        <w:rPr>
          <w:w w:val="95"/>
        </w:rPr>
        <w:t>70</w:t>
      </w:r>
      <w:r>
        <w:rPr>
          <w:w w:val="95"/>
        </w:rPr>
        <w:fldChar w:fldCharType="end"/>
      </w:r>
      <w:r>
        <w:rPr>
          <w:w w:val="95"/>
        </w:rPr>
        <w:fldChar w:fldCharType="end"/>
      </w:r>
    </w:p>
    <w:p>
      <w:pPr>
        <w:pStyle w:val="15"/>
        <w:tabs>
          <w:tab w:val="right" w:leader="dot" w:pos="8958"/>
        </w:tabs>
        <w:ind w:firstLine="600"/>
      </w:pPr>
      <w:r>
        <w:fldChar w:fldCharType="begin"/>
      </w:r>
      <w:r>
        <w:instrText xml:space="preserve"> HYPERLINK \l "_Toc3577" </w:instrText>
      </w:r>
      <w:r>
        <w:fldChar w:fldCharType="separate"/>
      </w:r>
      <w:r>
        <w:t xml:space="preserve">第一节  </w:t>
      </w:r>
      <w:r>
        <w:rPr>
          <w:rFonts w:hint="eastAsia"/>
        </w:rPr>
        <w:t>构建国土空间开发保护新格局</w:t>
      </w:r>
      <w:r>
        <w:tab/>
      </w:r>
      <w:r>
        <w:fldChar w:fldCharType="begin"/>
      </w:r>
      <w:r>
        <w:instrText xml:space="preserve"> PAGEREF _Toc3577 \h </w:instrText>
      </w:r>
      <w:r>
        <w:fldChar w:fldCharType="separate"/>
      </w:r>
      <w:r>
        <w:t>70</w:t>
      </w:r>
      <w:r>
        <w:fldChar w:fldCharType="end"/>
      </w:r>
      <w:r>
        <w:fldChar w:fldCharType="end"/>
      </w:r>
    </w:p>
    <w:p>
      <w:pPr>
        <w:pStyle w:val="15"/>
        <w:tabs>
          <w:tab w:val="right" w:leader="dot" w:pos="8958"/>
        </w:tabs>
        <w:ind w:firstLine="600"/>
      </w:pPr>
      <w:r>
        <w:fldChar w:fldCharType="begin"/>
      </w:r>
      <w:r>
        <w:instrText xml:space="preserve"> HYPERLINK \l "_Toc15671" </w:instrText>
      </w:r>
      <w:r>
        <w:fldChar w:fldCharType="separate"/>
      </w:r>
      <w:r>
        <w:t>第</w:t>
      </w:r>
      <w:r>
        <w:rPr>
          <w:rFonts w:hint="eastAsia"/>
        </w:rPr>
        <w:t>二</w:t>
      </w:r>
      <w:r>
        <w:t>节</w:t>
      </w:r>
      <w:r>
        <w:rPr>
          <w:rFonts w:hint="eastAsia"/>
        </w:rPr>
        <w:t xml:space="preserve">  推动区域协调融合</w:t>
      </w:r>
      <w:r>
        <w:tab/>
      </w:r>
      <w:r>
        <w:fldChar w:fldCharType="begin"/>
      </w:r>
      <w:r>
        <w:instrText xml:space="preserve"> PAGEREF _Toc15671 \h </w:instrText>
      </w:r>
      <w:r>
        <w:fldChar w:fldCharType="separate"/>
      </w:r>
      <w:r>
        <w:t>72</w:t>
      </w:r>
      <w:r>
        <w:fldChar w:fldCharType="end"/>
      </w:r>
      <w:r>
        <w:fldChar w:fldCharType="end"/>
      </w:r>
    </w:p>
    <w:p>
      <w:pPr>
        <w:pStyle w:val="15"/>
        <w:tabs>
          <w:tab w:val="right" w:leader="dot" w:pos="8958"/>
        </w:tabs>
        <w:ind w:firstLine="600"/>
      </w:pPr>
      <w:r>
        <w:fldChar w:fldCharType="begin"/>
      </w:r>
      <w:r>
        <w:instrText xml:space="preserve"> HYPERLINK \l "_Toc4071" </w:instrText>
      </w:r>
      <w:r>
        <w:fldChar w:fldCharType="separate"/>
      </w:r>
      <w:r>
        <w:t>第</w:t>
      </w:r>
      <w:r>
        <w:rPr>
          <w:rFonts w:hint="eastAsia"/>
        </w:rPr>
        <w:t>三</w:t>
      </w:r>
      <w:r>
        <w:t>节  提升城市现代化</w:t>
      </w:r>
      <w:r>
        <w:rPr>
          <w:rFonts w:hint="eastAsia"/>
        </w:rPr>
        <w:t>水平</w:t>
      </w:r>
      <w:r>
        <w:tab/>
      </w:r>
      <w:r>
        <w:fldChar w:fldCharType="begin"/>
      </w:r>
      <w:r>
        <w:instrText xml:space="preserve"> PAGEREF _Toc4071 \h </w:instrText>
      </w:r>
      <w:r>
        <w:fldChar w:fldCharType="separate"/>
      </w:r>
      <w:r>
        <w:t>75</w:t>
      </w:r>
      <w:r>
        <w:fldChar w:fldCharType="end"/>
      </w:r>
      <w:r>
        <w:fldChar w:fldCharType="end"/>
      </w:r>
    </w:p>
    <w:p>
      <w:pPr>
        <w:pStyle w:val="15"/>
        <w:tabs>
          <w:tab w:val="right" w:leader="dot" w:pos="8958"/>
        </w:tabs>
        <w:ind w:firstLine="600"/>
      </w:pPr>
      <w:r>
        <w:fldChar w:fldCharType="begin"/>
      </w:r>
      <w:r>
        <w:instrText xml:space="preserve"> HYPERLINK \l "_Toc10506" </w:instrText>
      </w:r>
      <w:r>
        <w:fldChar w:fldCharType="separate"/>
      </w:r>
      <w:r>
        <w:t>第</w:t>
      </w:r>
      <w:r>
        <w:rPr>
          <w:rFonts w:hint="eastAsia"/>
        </w:rPr>
        <w:t>四</w:t>
      </w:r>
      <w:r>
        <w:t xml:space="preserve">节  </w:t>
      </w:r>
      <w:r>
        <w:rPr>
          <w:rFonts w:hint="eastAsia"/>
        </w:rPr>
        <w:t>推进新型城镇化建设</w:t>
      </w:r>
      <w:r>
        <w:tab/>
      </w:r>
      <w:r>
        <w:fldChar w:fldCharType="begin"/>
      </w:r>
      <w:r>
        <w:instrText xml:space="preserve"> PAGEREF _Toc10506 \h </w:instrText>
      </w:r>
      <w:r>
        <w:fldChar w:fldCharType="separate"/>
      </w:r>
      <w:r>
        <w:t>78</w:t>
      </w:r>
      <w:r>
        <w:fldChar w:fldCharType="end"/>
      </w:r>
      <w:r>
        <w:fldChar w:fldCharType="end"/>
      </w:r>
    </w:p>
    <w:p>
      <w:pPr>
        <w:pStyle w:val="13"/>
        <w:tabs>
          <w:tab w:val="right" w:leader="dot" w:pos="8958"/>
        </w:tabs>
      </w:pPr>
      <w:r>
        <w:fldChar w:fldCharType="begin"/>
      </w:r>
      <w:r>
        <w:instrText xml:space="preserve"> HYPERLINK \l "_Toc21179" </w:instrText>
      </w:r>
      <w:r>
        <w:fldChar w:fldCharType="separate"/>
      </w:r>
      <w:r>
        <w:rPr>
          <w:rFonts w:hint="eastAsia" w:ascii="方正小标宋_GBK" w:eastAsia="方正小标宋_GBK"/>
          <w:szCs w:val="36"/>
        </w:rPr>
        <w:t>第十章  全面实施乡村振兴战略 加快农业农村现代化</w:t>
      </w:r>
      <w:r>
        <w:tab/>
      </w:r>
      <w:r>
        <w:fldChar w:fldCharType="begin"/>
      </w:r>
      <w:r>
        <w:instrText xml:space="preserve"> PAGEREF _Toc21179 \h </w:instrText>
      </w:r>
      <w:r>
        <w:fldChar w:fldCharType="separate"/>
      </w:r>
      <w:r>
        <w:t>79</w:t>
      </w:r>
      <w:r>
        <w:fldChar w:fldCharType="end"/>
      </w:r>
      <w:r>
        <w:fldChar w:fldCharType="end"/>
      </w:r>
    </w:p>
    <w:p>
      <w:pPr>
        <w:pStyle w:val="15"/>
        <w:tabs>
          <w:tab w:val="right" w:leader="dot" w:pos="8958"/>
        </w:tabs>
        <w:ind w:firstLine="600"/>
      </w:pPr>
      <w:r>
        <w:fldChar w:fldCharType="begin"/>
      </w:r>
      <w:r>
        <w:instrText xml:space="preserve"> HYPERLINK \l "_Toc15438" </w:instrText>
      </w:r>
      <w:r>
        <w:fldChar w:fldCharType="separate"/>
      </w:r>
      <w:r>
        <w:t>第</w:t>
      </w:r>
      <w:r>
        <w:rPr>
          <w:rFonts w:hint="eastAsia"/>
        </w:rPr>
        <w:t>一</w:t>
      </w:r>
      <w:r>
        <w:t xml:space="preserve">节  </w:t>
      </w:r>
      <w:r>
        <w:rPr>
          <w:rFonts w:hint="eastAsia"/>
        </w:rPr>
        <w:t>推进乡村产业振兴</w:t>
      </w:r>
      <w:r>
        <w:tab/>
      </w:r>
      <w:r>
        <w:fldChar w:fldCharType="begin"/>
      </w:r>
      <w:r>
        <w:instrText xml:space="preserve"> PAGEREF _Toc15438 \h </w:instrText>
      </w:r>
      <w:r>
        <w:fldChar w:fldCharType="separate"/>
      </w:r>
      <w:r>
        <w:t>79</w:t>
      </w:r>
      <w:r>
        <w:fldChar w:fldCharType="end"/>
      </w:r>
      <w:r>
        <w:fldChar w:fldCharType="end"/>
      </w:r>
    </w:p>
    <w:p>
      <w:pPr>
        <w:pStyle w:val="15"/>
        <w:tabs>
          <w:tab w:val="right" w:leader="dot" w:pos="8958"/>
        </w:tabs>
        <w:ind w:firstLine="600"/>
      </w:pPr>
      <w:r>
        <w:fldChar w:fldCharType="begin"/>
      </w:r>
      <w:r>
        <w:instrText xml:space="preserve"> HYPERLINK \l "_Toc14804" </w:instrText>
      </w:r>
      <w:r>
        <w:fldChar w:fldCharType="separate"/>
      </w:r>
      <w:r>
        <w:rPr>
          <w:rFonts w:hint="eastAsia"/>
        </w:rPr>
        <w:t>第二节  深化农村改革</w:t>
      </w:r>
      <w:r>
        <w:tab/>
      </w:r>
      <w:r>
        <w:fldChar w:fldCharType="begin"/>
      </w:r>
      <w:r>
        <w:instrText xml:space="preserve"> PAGEREF _Toc14804 \h </w:instrText>
      </w:r>
      <w:r>
        <w:fldChar w:fldCharType="separate"/>
      </w:r>
      <w:r>
        <w:t>81</w:t>
      </w:r>
      <w:r>
        <w:fldChar w:fldCharType="end"/>
      </w:r>
      <w:r>
        <w:fldChar w:fldCharType="end"/>
      </w:r>
    </w:p>
    <w:p>
      <w:pPr>
        <w:pStyle w:val="15"/>
        <w:tabs>
          <w:tab w:val="right" w:leader="dot" w:pos="8958"/>
        </w:tabs>
        <w:ind w:firstLine="600"/>
      </w:pPr>
      <w:r>
        <w:fldChar w:fldCharType="begin"/>
      </w:r>
      <w:r>
        <w:instrText xml:space="preserve"> HYPERLINK \l "_Toc2038" </w:instrText>
      </w:r>
      <w:r>
        <w:fldChar w:fldCharType="separate"/>
      </w:r>
      <w:r>
        <w:rPr>
          <w:rFonts w:hint="eastAsia"/>
        </w:rPr>
        <w:t>第三节  建设美丽幸福乡村</w:t>
      </w:r>
      <w:r>
        <w:tab/>
      </w:r>
      <w:r>
        <w:fldChar w:fldCharType="begin"/>
      </w:r>
      <w:r>
        <w:instrText xml:space="preserve"> PAGEREF _Toc2038 \h </w:instrText>
      </w:r>
      <w:r>
        <w:fldChar w:fldCharType="separate"/>
      </w:r>
      <w:r>
        <w:t>81</w:t>
      </w:r>
      <w:r>
        <w:fldChar w:fldCharType="end"/>
      </w:r>
      <w:r>
        <w:fldChar w:fldCharType="end"/>
      </w:r>
    </w:p>
    <w:p>
      <w:pPr>
        <w:pStyle w:val="15"/>
        <w:tabs>
          <w:tab w:val="right" w:leader="dot" w:pos="8958"/>
        </w:tabs>
        <w:ind w:firstLine="600"/>
      </w:pPr>
      <w:r>
        <w:fldChar w:fldCharType="begin"/>
      </w:r>
      <w:r>
        <w:instrText xml:space="preserve"> HYPERLINK \l "_Toc10530" </w:instrText>
      </w:r>
      <w:r>
        <w:fldChar w:fldCharType="separate"/>
      </w:r>
      <w:r>
        <w:rPr>
          <w:rFonts w:hint="eastAsia"/>
        </w:rPr>
        <w:t>第四节  巩固拓展脱贫攻坚成果</w:t>
      </w:r>
      <w:r>
        <w:tab/>
      </w:r>
      <w:r>
        <w:fldChar w:fldCharType="begin"/>
      </w:r>
      <w:r>
        <w:instrText xml:space="preserve"> PAGEREF _Toc10530 \h </w:instrText>
      </w:r>
      <w:r>
        <w:fldChar w:fldCharType="separate"/>
      </w:r>
      <w:r>
        <w:t>83</w:t>
      </w:r>
      <w:r>
        <w:fldChar w:fldCharType="end"/>
      </w:r>
      <w:r>
        <w:fldChar w:fldCharType="end"/>
      </w:r>
    </w:p>
    <w:p>
      <w:pPr>
        <w:pStyle w:val="13"/>
        <w:tabs>
          <w:tab w:val="right" w:leader="dot" w:pos="8958"/>
        </w:tabs>
      </w:pPr>
      <w:r>
        <w:fldChar w:fldCharType="begin"/>
      </w:r>
      <w:r>
        <w:instrText xml:space="preserve"> HYPERLINK \l "_Toc17363" </w:instrText>
      </w:r>
      <w:r>
        <w:fldChar w:fldCharType="separate"/>
      </w:r>
      <w:r>
        <w:rPr>
          <w:rFonts w:hint="eastAsia" w:ascii="方正小标宋_GBK" w:eastAsia="方正小标宋_GBK"/>
          <w:szCs w:val="36"/>
        </w:rPr>
        <w:t>第十一章  深入推进生态文明建设 加快建设美丽惠州</w:t>
      </w:r>
      <w:r>
        <w:tab/>
      </w:r>
      <w:r>
        <w:fldChar w:fldCharType="begin"/>
      </w:r>
      <w:r>
        <w:instrText xml:space="preserve"> PAGEREF _Toc17363 \h </w:instrText>
      </w:r>
      <w:r>
        <w:fldChar w:fldCharType="separate"/>
      </w:r>
      <w:r>
        <w:t>84</w:t>
      </w:r>
      <w:r>
        <w:fldChar w:fldCharType="end"/>
      </w:r>
      <w:r>
        <w:fldChar w:fldCharType="end"/>
      </w:r>
    </w:p>
    <w:p>
      <w:pPr>
        <w:pStyle w:val="15"/>
        <w:tabs>
          <w:tab w:val="right" w:leader="dot" w:pos="8958"/>
        </w:tabs>
        <w:ind w:firstLine="600"/>
      </w:pPr>
      <w:r>
        <w:fldChar w:fldCharType="begin"/>
      </w:r>
      <w:r>
        <w:instrText xml:space="preserve"> HYPERLINK \l "_Toc22095" </w:instrText>
      </w:r>
      <w:r>
        <w:fldChar w:fldCharType="separate"/>
      </w:r>
      <w:r>
        <w:t>第</w:t>
      </w:r>
      <w:r>
        <w:rPr>
          <w:rFonts w:hint="eastAsia"/>
        </w:rPr>
        <w:t>一</w:t>
      </w:r>
      <w:r>
        <w:t xml:space="preserve">节  </w:t>
      </w:r>
      <w:r>
        <w:rPr>
          <w:rFonts w:hint="eastAsia"/>
        </w:rPr>
        <w:t>持续全面改善环境质量</w:t>
      </w:r>
      <w:r>
        <w:tab/>
      </w:r>
      <w:r>
        <w:fldChar w:fldCharType="begin"/>
      </w:r>
      <w:r>
        <w:instrText xml:space="preserve"> PAGEREF _Toc22095 \h </w:instrText>
      </w:r>
      <w:r>
        <w:fldChar w:fldCharType="separate"/>
      </w:r>
      <w:r>
        <w:t>84</w:t>
      </w:r>
      <w:r>
        <w:fldChar w:fldCharType="end"/>
      </w:r>
      <w:r>
        <w:fldChar w:fldCharType="end"/>
      </w:r>
    </w:p>
    <w:p>
      <w:pPr>
        <w:pStyle w:val="15"/>
        <w:tabs>
          <w:tab w:val="right" w:leader="dot" w:pos="8958"/>
        </w:tabs>
        <w:ind w:firstLine="600"/>
      </w:pPr>
      <w:r>
        <w:fldChar w:fldCharType="begin"/>
      </w:r>
      <w:r>
        <w:instrText xml:space="preserve"> HYPERLINK \l "_Toc8094" </w:instrText>
      </w:r>
      <w:r>
        <w:fldChar w:fldCharType="separate"/>
      </w:r>
      <w:r>
        <w:t>第</w:t>
      </w:r>
      <w:r>
        <w:rPr>
          <w:rFonts w:hint="eastAsia"/>
        </w:rPr>
        <w:t>二</w:t>
      </w:r>
      <w:r>
        <w:t xml:space="preserve">节  </w:t>
      </w:r>
      <w:r>
        <w:rPr>
          <w:rFonts w:hint="eastAsia"/>
        </w:rPr>
        <w:t>显著提升生态系统质量</w:t>
      </w:r>
      <w:r>
        <w:tab/>
      </w:r>
      <w:r>
        <w:fldChar w:fldCharType="begin"/>
      </w:r>
      <w:r>
        <w:instrText xml:space="preserve"> PAGEREF _Toc8094 \h </w:instrText>
      </w:r>
      <w:r>
        <w:fldChar w:fldCharType="separate"/>
      </w:r>
      <w:r>
        <w:t>86</w:t>
      </w:r>
      <w:r>
        <w:fldChar w:fldCharType="end"/>
      </w:r>
      <w:r>
        <w:fldChar w:fldCharType="end"/>
      </w:r>
    </w:p>
    <w:p>
      <w:pPr>
        <w:pStyle w:val="15"/>
        <w:tabs>
          <w:tab w:val="right" w:leader="dot" w:pos="8958"/>
        </w:tabs>
        <w:ind w:firstLine="600"/>
      </w:pPr>
      <w:r>
        <w:fldChar w:fldCharType="begin"/>
      </w:r>
      <w:r>
        <w:instrText xml:space="preserve"> HYPERLINK \l "_Toc2075" </w:instrText>
      </w:r>
      <w:r>
        <w:fldChar w:fldCharType="separate"/>
      </w:r>
      <w:r>
        <w:t>第</w:t>
      </w:r>
      <w:r>
        <w:rPr>
          <w:rFonts w:hint="eastAsia"/>
        </w:rPr>
        <w:t>三</w:t>
      </w:r>
      <w:r>
        <w:t>节  推进绿色</w:t>
      </w:r>
      <w:r>
        <w:rPr>
          <w:rFonts w:hint="eastAsia"/>
        </w:rPr>
        <w:t>低碳循环</w:t>
      </w:r>
      <w:r>
        <w:t>发展</w:t>
      </w:r>
      <w:r>
        <w:tab/>
      </w:r>
      <w:r>
        <w:fldChar w:fldCharType="begin"/>
      </w:r>
      <w:r>
        <w:instrText xml:space="preserve"> PAGEREF _Toc2075 \h </w:instrText>
      </w:r>
      <w:r>
        <w:fldChar w:fldCharType="separate"/>
      </w:r>
      <w:r>
        <w:t>87</w:t>
      </w:r>
      <w:r>
        <w:fldChar w:fldCharType="end"/>
      </w:r>
      <w:r>
        <w:fldChar w:fldCharType="end"/>
      </w:r>
    </w:p>
    <w:p>
      <w:pPr>
        <w:pStyle w:val="15"/>
        <w:tabs>
          <w:tab w:val="right" w:leader="dot" w:pos="8958"/>
        </w:tabs>
        <w:ind w:firstLine="600"/>
      </w:pPr>
      <w:r>
        <w:fldChar w:fldCharType="begin"/>
      </w:r>
      <w:r>
        <w:instrText xml:space="preserve"> HYPERLINK \l "_Toc27991" </w:instrText>
      </w:r>
      <w:r>
        <w:fldChar w:fldCharType="separate"/>
      </w:r>
      <w:r>
        <w:t>第</w:t>
      </w:r>
      <w:r>
        <w:rPr>
          <w:rFonts w:hint="eastAsia"/>
        </w:rPr>
        <w:t>四</w:t>
      </w:r>
      <w:r>
        <w:t xml:space="preserve">节  </w:t>
      </w:r>
      <w:r>
        <w:rPr>
          <w:rFonts w:hint="eastAsia"/>
        </w:rPr>
        <w:t>提升生态治理能力和水平</w:t>
      </w:r>
      <w:r>
        <w:tab/>
      </w:r>
      <w:r>
        <w:fldChar w:fldCharType="begin"/>
      </w:r>
      <w:r>
        <w:instrText xml:space="preserve"> PAGEREF _Toc27991 \h </w:instrText>
      </w:r>
      <w:r>
        <w:fldChar w:fldCharType="separate"/>
      </w:r>
      <w:r>
        <w:t>88</w:t>
      </w:r>
      <w:r>
        <w:fldChar w:fldCharType="end"/>
      </w:r>
      <w:r>
        <w:fldChar w:fldCharType="end"/>
      </w:r>
    </w:p>
    <w:p>
      <w:pPr>
        <w:pStyle w:val="13"/>
        <w:tabs>
          <w:tab w:val="right" w:leader="dot" w:pos="8958"/>
        </w:tabs>
      </w:pPr>
      <w:r>
        <w:fldChar w:fldCharType="begin"/>
      </w:r>
      <w:r>
        <w:instrText xml:space="preserve"> HYPERLINK \l "_Toc23999" </w:instrText>
      </w:r>
      <w:r>
        <w:fldChar w:fldCharType="separate"/>
      </w:r>
      <w:r>
        <w:rPr>
          <w:rFonts w:hint="eastAsia" w:ascii="方正小标宋_GBK" w:eastAsia="方正小标宋_GBK"/>
          <w:szCs w:val="36"/>
        </w:rPr>
        <w:t>第十二章  打造一流生活品质 建设更加幸福惠州</w:t>
      </w:r>
      <w:r>
        <w:tab/>
      </w:r>
      <w:r>
        <w:fldChar w:fldCharType="begin"/>
      </w:r>
      <w:r>
        <w:instrText xml:space="preserve"> PAGEREF _Toc23999 \h </w:instrText>
      </w:r>
      <w:r>
        <w:fldChar w:fldCharType="separate"/>
      </w:r>
      <w:r>
        <w:t>89</w:t>
      </w:r>
      <w:r>
        <w:fldChar w:fldCharType="end"/>
      </w:r>
      <w:r>
        <w:fldChar w:fldCharType="end"/>
      </w:r>
    </w:p>
    <w:p>
      <w:pPr>
        <w:pStyle w:val="15"/>
        <w:tabs>
          <w:tab w:val="right" w:leader="dot" w:pos="8958"/>
        </w:tabs>
        <w:ind w:firstLine="600"/>
      </w:pPr>
      <w:r>
        <w:fldChar w:fldCharType="begin"/>
      </w:r>
      <w:r>
        <w:instrText xml:space="preserve"> HYPERLINK \l "_Toc30624" </w:instrText>
      </w:r>
      <w:r>
        <w:fldChar w:fldCharType="separate"/>
      </w:r>
      <w:r>
        <w:t>第一节  提高居民收入水平和就业质量</w:t>
      </w:r>
      <w:r>
        <w:tab/>
      </w:r>
      <w:r>
        <w:fldChar w:fldCharType="begin"/>
      </w:r>
      <w:r>
        <w:instrText xml:space="preserve"> PAGEREF _Toc30624 \h </w:instrText>
      </w:r>
      <w:r>
        <w:fldChar w:fldCharType="separate"/>
      </w:r>
      <w:r>
        <w:t>89</w:t>
      </w:r>
      <w:r>
        <w:fldChar w:fldCharType="end"/>
      </w:r>
      <w:r>
        <w:fldChar w:fldCharType="end"/>
      </w:r>
    </w:p>
    <w:p>
      <w:pPr>
        <w:pStyle w:val="15"/>
        <w:tabs>
          <w:tab w:val="right" w:leader="dot" w:pos="8958"/>
        </w:tabs>
        <w:ind w:firstLine="600"/>
      </w:pPr>
      <w:r>
        <w:fldChar w:fldCharType="begin"/>
      </w:r>
      <w:r>
        <w:instrText xml:space="preserve"> HYPERLINK \l "_Toc18010" </w:instrText>
      </w:r>
      <w:r>
        <w:fldChar w:fldCharType="separate"/>
      </w:r>
      <w:r>
        <w:t xml:space="preserve">第二节  </w:t>
      </w:r>
      <w:r>
        <w:rPr>
          <w:rFonts w:hint="eastAsia"/>
        </w:rPr>
        <w:t>建设高质量教育体系</w:t>
      </w:r>
      <w:r>
        <w:tab/>
      </w:r>
      <w:r>
        <w:fldChar w:fldCharType="begin"/>
      </w:r>
      <w:r>
        <w:instrText xml:space="preserve"> PAGEREF _Toc18010 \h </w:instrText>
      </w:r>
      <w:r>
        <w:fldChar w:fldCharType="separate"/>
      </w:r>
      <w:r>
        <w:t>90</w:t>
      </w:r>
      <w:r>
        <w:fldChar w:fldCharType="end"/>
      </w:r>
      <w:r>
        <w:fldChar w:fldCharType="end"/>
      </w:r>
    </w:p>
    <w:p>
      <w:pPr>
        <w:pStyle w:val="15"/>
        <w:tabs>
          <w:tab w:val="right" w:leader="dot" w:pos="8958"/>
        </w:tabs>
        <w:ind w:firstLine="600"/>
      </w:pPr>
      <w:r>
        <w:fldChar w:fldCharType="begin"/>
      </w:r>
      <w:r>
        <w:instrText xml:space="preserve"> HYPERLINK \l "_Toc11270" </w:instrText>
      </w:r>
      <w:r>
        <w:fldChar w:fldCharType="separate"/>
      </w:r>
      <w:r>
        <w:rPr>
          <w:rFonts w:hint="eastAsia"/>
        </w:rPr>
        <w:t xml:space="preserve">第三节 </w:t>
      </w:r>
      <w:r>
        <w:t xml:space="preserve"> </w:t>
      </w:r>
      <w:r>
        <w:rPr>
          <w:rFonts w:hint="eastAsia"/>
        </w:rPr>
        <w:t>持续提高全民健康水平</w:t>
      </w:r>
      <w:r>
        <w:tab/>
      </w:r>
      <w:r>
        <w:fldChar w:fldCharType="begin"/>
      </w:r>
      <w:r>
        <w:instrText xml:space="preserve"> PAGEREF _Toc11270 \h </w:instrText>
      </w:r>
      <w:r>
        <w:fldChar w:fldCharType="separate"/>
      </w:r>
      <w:r>
        <w:t>93</w:t>
      </w:r>
      <w:r>
        <w:fldChar w:fldCharType="end"/>
      </w:r>
      <w:r>
        <w:fldChar w:fldCharType="end"/>
      </w:r>
    </w:p>
    <w:p>
      <w:pPr>
        <w:pStyle w:val="15"/>
        <w:tabs>
          <w:tab w:val="right" w:leader="dot" w:pos="8958"/>
        </w:tabs>
        <w:ind w:firstLine="600"/>
      </w:pPr>
      <w:r>
        <w:fldChar w:fldCharType="begin"/>
      </w:r>
      <w:r>
        <w:instrText xml:space="preserve"> HYPERLINK \l "_Toc20647" </w:instrText>
      </w:r>
      <w:r>
        <w:fldChar w:fldCharType="separate"/>
      </w:r>
      <w:r>
        <w:rPr>
          <w:rFonts w:hint="eastAsia"/>
        </w:rPr>
        <w:t xml:space="preserve">第四节 </w:t>
      </w:r>
      <w:r>
        <w:t xml:space="preserve"> </w:t>
      </w:r>
      <w:r>
        <w:rPr>
          <w:rFonts w:hint="eastAsia"/>
        </w:rPr>
        <w:t>织密</w:t>
      </w:r>
      <w:r>
        <w:t>织牢民生保障网</w:t>
      </w:r>
      <w:r>
        <w:tab/>
      </w:r>
      <w:r>
        <w:fldChar w:fldCharType="begin"/>
      </w:r>
      <w:r>
        <w:instrText xml:space="preserve"> PAGEREF _Toc20647 \h </w:instrText>
      </w:r>
      <w:r>
        <w:fldChar w:fldCharType="separate"/>
      </w:r>
      <w:r>
        <w:t>96</w:t>
      </w:r>
      <w:r>
        <w:fldChar w:fldCharType="end"/>
      </w:r>
      <w:r>
        <w:fldChar w:fldCharType="end"/>
      </w:r>
    </w:p>
    <w:p>
      <w:pPr>
        <w:pStyle w:val="15"/>
        <w:tabs>
          <w:tab w:val="right" w:leader="dot" w:pos="8958"/>
        </w:tabs>
        <w:ind w:firstLine="600"/>
      </w:pPr>
      <w:r>
        <w:fldChar w:fldCharType="begin"/>
      </w:r>
      <w:r>
        <w:instrText xml:space="preserve"> HYPERLINK \l "_Toc16454" </w:instrText>
      </w:r>
      <w:r>
        <w:fldChar w:fldCharType="separate"/>
      </w:r>
      <w:r>
        <w:t xml:space="preserve">第五节  </w:t>
      </w:r>
      <w:r>
        <w:rPr>
          <w:rFonts w:hint="eastAsia"/>
        </w:rPr>
        <w:t>建设文化强市</w:t>
      </w:r>
      <w:r>
        <w:tab/>
      </w:r>
      <w:r>
        <w:fldChar w:fldCharType="begin"/>
      </w:r>
      <w:r>
        <w:instrText xml:space="preserve"> PAGEREF _Toc16454 \h </w:instrText>
      </w:r>
      <w:r>
        <w:fldChar w:fldCharType="separate"/>
      </w:r>
      <w:r>
        <w:t>98</w:t>
      </w:r>
      <w:r>
        <w:fldChar w:fldCharType="end"/>
      </w:r>
      <w:r>
        <w:fldChar w:fldCharType="end"/>
      </w:r>
    </w:p>
    <w:p>
      <w:pPr>
        <w:pStyle w:val="15"/>
        <w:tabs>
          <w:tab w:val="right" w:leader="dot" w:pos="8958"/>
        </w:tabs>
        <w:ind w:firstLine="600"/>
      </w:pPr>
      <w:r>
        <w:fldChar w:fldCharType="begin"/>
      </w:r>
      <w:r>
        <w:instrText xml:space="preserve"> HYPERLINK \l "_Toc32148" </w:instrText>
      </w:r>
      <w:r>
        <w:fldChar w:fldCharType="separate"/>
      </w:r>
      <w:r>
        <w:rPr>
          <w:rFonts w:hint="eastAsia"/>
        </w:rPr>
        <w:t xml:space="preserve">第六节  </w:t>
      </w:r>
      <w:r>
        <w:t>积极应对人口老龄化</w:t>
      </w:r>
      <w:r>
        <w:tab/>
      </w:r>
      <w:r>
        <w:fldChar w:fldCharType="begin"/>
      </w:r>
      <w:r>
        <w:instrText xml:space="preserve"> PAGEREF _Toc32148 \h </w:instrText>
      </w:r>
      <w:r>
        <w:fldChar w:fldCharType="separate"/>
      </w:r>
      <w:r>
        <w:t>101</w:t>
      </w:r>
      <w:r>
        <w:fldChar w:fldCharType="end"/>
      </w:r>
      <w:r>
        <w:fldChar w:fldCharType="end"/>
      </w:r>
    </w:p>
    <w:p>
      <w:pPr>
        <w:pStyle w:val="13"/>
        <w:tabs>
          <w:tab w:val="right" w:leader="dot" w:pos="8958"/>
        </w:tabs>
      </w:pPr>
      <w:r>
        <w:fldChar w:fldCharType="begin"/>
      </w:r>
      <w:r>
        <w:instrText xml:space="preserve"> HYPERLINK \l "_Toc29463" </w:instrText>
      </w:r>
      <w:r>
        <w:fldChar w:fldCharType="separate"/>
      </w:r>
      <w:r>
        <w:rPr>
          <w:rFonts w:hint="eastAsia" w:ascii="方正小标宋_GBK" w:eastAsia="方正小标宋_GBK"/>
          <w:szCs w:val="36"/>
        </w:rPr>
        <w:t>第十三章  全面推进依法治市 建设法治惠州</w:t>
      </w:r>
      <w:r>
        <w:tab/>
      </w:r>
      <w:r>
        <w:fldChar w:fldCharType="begin"/>
      </w:r>
      <w:r>
        <w:instrText xml:space="preserve"> PAGEREF _Toc29463 \h </w:instrText>
      </w:r>
      <w:r>
        <w:fldChar w:fldCharType="separate"/>
      </w:r>
      <w:r>
        <w:t>104</w:t>
      </w:r>
      <w:r>
        <w:fldChar w:fldCharType="end"/>
      </w:r>
      <w:r>
        <w:fldChar w:fldCharType="end"/>
      </w:r>
    </w:p>
    <w:p>
      <w:pPr>
        <w:pStyle w:val="15"/>
        <w:tabs>
          <w:tab w:val="right" w:leader="dot" w:pos="8958"/>
        </w:tabs>
        <w:ind w:firstLine="600"/>
      </w:pPr>
      <w:r>
        <w:fldChar w:fldCharType="begin"/>
      </w:r>
      <w:r>
        <w:instrText xml:space="preserve"> HYPERLINK \l "_Toc21624" </w:instrText>
      </w:r>
      <w:r>
        <w:fldChar w:fldCharType="separate"/>
      </w:r>
      <w:r>
        <w:t xml:space="preserve">第一节  </w:t>
      </w:r>
      <w:r>
        <w:rPr>
          <w:rFonts w:hint="eastAsia"/>
        </w:rPr>
        <w:t>推进</w:t>
      </w:r>
      <w:r>
        <w:t>法治</w:t>
      </w:r>
      <w:r>
        <w:rPr>
          <w:rFonts w:hint="eastAsia"/>
        </w:rPr>
        <w:t>政府</w:t>
      </w:r>
      <w:r>
        <w:t>建设</w:t>
      </w:r>
      <w:r>
        <w:tab/>
      </w:r>
      <w:r>
        <w:fldChar w:fldCharType="begin"/>
      </w:r>
      <w:r>
        <w:instrText xml:space="preserve"> PAGEREF _Toc21624 \h </w:instrText>
      </w:r>
      <w:r>
        <w:fldChar w:fldCharType="separate"/>
      </w:r>
      <w:r>
        <w:t>104</w:t>
      </w:r>
      <w:r>
        <w:fldChar w:fldCharType="end"/>
      </w:r>
      <w:r>
        <w:fldChar w:fldCharType="end"/>
      </w:r>
    </w:p>
    <w:p>
      <w:pPr>
        <w:pStyle w:val="15"/>
        <w:tabs>
          <w:tab w:val="right" w:leader="dot" w:pos="8958"/>
        </w:tabs>
        <w:ind w:firstLine="600"/>
      </w:pPr>
      <w:r>
        <w:fldChar w:fldCharType="begin"/>
      </w:r>
      <w:r>
        <w:instrText xml:space="preserve"> HYPERLINK \l "_Toc19464" </w:instrText>
      </w:r>
      <w:r>
        <w:fldChar w:fldCharType="separate"/>
      </w:r>
      <w:r>
        <w:t>第</w:t>
      </w:r>
      <w:r>
        <w:rPr>
          <w:rFonts w:hint="eastAsia"/>
        </w:rPr>
        <w:t>二</w:t>
      </w:r>
      <w:r>
        <w:t xml:space="preserve">节  </w:t>
      </w:r>
      <w:r>
        <w:rPr>
          <w:rFonts w:hint="eastAsia"/>
        </w:rPr>
        <w:t>加强法治社会建设</w:t>
      </w:r>
      <w:r>
        <w:tab/>
      </w:r>
      <w:r>
        <w:fldChar w:fldCharType="begin"/>
      </w:r>
      <w:r>
        <w:instrText xml:space="preserve"> PAGEREF _Toc19464 \h </w:instrText>
      </w:r>
      <w:r>
        <w:fldChar w:fldCharType="separate"/>
      </w:r>
      <w:r>
        <w:t>105</w:t>
      </w:r>
      <w:r>
        <w:fldChar w:fldCharType="end"/>
      </w:r>
      <w:r>
        <w:fldChar w:fldCharType="end"/>
      </w:r>
    </w:p>
    <w:p>
      <w:pPr>
        <w:pStyle w:val="15"/>
        <w:tabs>
          <w:tab w:val="right" w:leader="dot" w:pos="8958"/>
        </w:tabs>
        <w:ind w:firstLine="600"/>
      </w:pPr>
      <w:r>
        <w:fldChar w:fldCharType="begin"/>
      </w:r>
      <w:r>
        <w:instrText xml:space="preserve"> HYPERLINK \l "_Toc11759" </w:instrText>
      </w:r>
      <w:r>
        <w:fldChar w:fldCharType="separate"/>
      </w:r>
      <w:r>
        <w:t>第三节  深化司法体制改革</w:t>
      </w:r>
      <w:r>
        <w:tab/>
      </w:r>
      <w:r>
        <w:fldChar w:fldCharType="begin"/>
      </w:r>
      <w:r>
        <w:instrText xml:space="preserve"> PAGEREF _Toc11759 \h </w:instrText>
      </w:r>
      <w:r>
        <w:fldChar w:fldCharType="separate"/>
      </w:r>
      <w:r>
        <w:t>106</w:t>
      </w:r>
      <w:r>
        <w:fldChar w:fldCharType="end"/>
      </w:r>
      <w:r>
        <w:fldChar w:fldCharType="end"/>
      </w:r>
    </w:p>
    <w:p>
      <w:pPr>
        <w:pStyle w:val="15"/>
        <w:tabs>
          <w:tab w:val="right" w:leader="dot" w:pos="8958"/>
        </w:tabs>
        <w:ind w:firstLine="600"/>
      </w:pPr>
      <w:r>
        <w:fldChar w:fldCharType="begin"/>
      </w:r>
      <w:r>
        <w:instrText xml:space="preserve"> HYPERLINK \l "_Toc7015" </w:instrText>
      </w:r>
      <w:r>
        <w:fldChar w:fldCharType="separate"/>
      </w:r>
      <w:r>
        <w:t>第</w:t>
      </w:r>
      <w:r>
        <w:rPr>
          <w:rFonts w:hint="eastAsia"/>
        </w:rPr>
        <w:t>四</w:t>
      </w:r>
      <w:r>
        <w:t xml:space="preserve">节  </w:t>
      </w:r>
      <w:r>
        <w:rPr>
          <w:rFonts w:hint="eastAsia"/>
        </w:rPr>
        <w:t>创新完善社会治理</w:t>
      </w:r>
      <w:r>
        <w:tab/>
      </w:r>
      <w:r>
        <w:fldChar w:fldCharType="begin"/>
      </w:r>
      <w:r>
        <w:instrText xml:space="preserve"> PAGEREF _Toc7015 \h </w:instrText>
      </w:r>
      <w:r>
        <w:fldChar w:fldCharType="separate"/>
      </w:r>
      <w:r>
        <w:t>106</w:t>
      </w:r>
      <w:r>
        <w:fldChar w:fldCharType="end"/>
      </w:r>
      <w:r>
        <w:fldChar w:fldCharType="end"/>
      </w:r>
    </w:p>
    <w:p>
      <w:pPr>
        <w:pStyle w:val="13"/>
        <w:tabs>
          <w:tab w:val="right" w:leader="dot" w:pos="8958"/>
        </w:tabs>
      </w:pPr>
      <w:r>
        <w:fldChar w:fldCharType="begin"/>
      </w:r>
      <w:r>
        <w:instrText xml:space="preserve"> HYPERLINK \l "_Toc4778" </w:instrText>
      </w:r>
      <w:r>
        <w:fldChar w:fldCharType="separate"/>
      </w:r>
      <w:r>
        <w:rPr>
          <w:rFonts w:hint="eastAsia" w:ascii="方正小标宋_GBK" w:eastAsia="方正小标宋_GBK"/>
          <w:szCs w:val="36"/>
        </w:rPr>
        <w:t>第十四章  统筹发展和安全 建设平安惠州</w:t>
      </w:r>
      <w:r>
        <w:tab/>
      </w:r>
      <w:r>
        <w:fldChar w:fldCharType="begin"/>
      </w:r>
      <w:r>
        <w:instrText xml:space="preserve"> PAGEREF _Toc4778 \h </w:instrText>
      </w:r>
      <w:r>
        <w:fldChar w:fldCharType="separate"/>
      </w:r>
      <w:r>
        <w:t>109</w:t>
      </w:r>
      <w:r>
        <w:fldChar w:fldCharType="end"/>
      </w:r>
      <w:r>
        <w:fldChar w:fldCharType="end"/>
      </w:r>
    </w:p>
    <w:p>
      <w:pPr>
        <w:pStyle w:val="15"/>
        <w:tabs>
          <w:tab w:val="right" w:leader="dot" w:pos="8958"/>
        </w:tabs>
        <w:ind w:firstLine="600"/>
      </w:pPr>
      <w:r>
        <w:fldChar w:fldCharType="begin"/>
      </w:r>
      <w:r>
        <w:instrText xml:space="preserve"> HYPERLINK \l "_Toc16978" </w:instrText>
      </w:r>
      <w:r>
        <w:fldChar w:fldCharType="separate"/>
      </w:r>
      <w:r>
        <w:t>第</w:t>
      </w:r>
      <w:r>
        <w:rPr>
          <w:rFonts w:hint="eastAsia"/>
        </w:rPr>
        <w:t>一</w:t>
      </w:r>
      <w:r>
        <w:t xml:space="preserve">节  </w:t>
      </w:r>
      <w:r>
        <w:rPr>
          <w:rFonts w:hint="eastAsia"/>
        </w:rPr>
        <w:t>维护国家安全</w:t>
      </w:r>
      <w:r>
        <w:tab/>
      </w:r>
      <w:r>
        <w:fldChar w:fldCharType="begin"/>
      </w:r>
      <w:r>
        <w:instrText xml:space="preserve"> PAGEREF _Toc16978 \h </w:instrText>
      </w:r>
      <w:r>
        <w:fldChar w:fldCharType="separate"/>
      </w:r>
      <w:r>
        <w:t>109</w:t>
      </w:r>
      <w:r>
        <w:fldChar w:fldCharType="end"/>
      </w:r>
      <w:r>
        <w:fldChar w:fldCharType="end"/>
      </w:r>
    </w:p>
    <w:p>
      <w:pPr>
        <w:pStyle w:val="15"/>
        <w:tabs>
          <w:tab w:val="right" w:leader="dot" w:pos="8958"/>
        </w:tabs>
        <w:ind w:firstLine="600"/>
      </w:pPr>
      <w:r>
        <w:fldChar w:fldCharType="begin"/>
      </w:r>
      <w:r>
        <w:instrText xml:space="preserve"> HYPERLINK \l "_Toc13751" </w:instrText>
      </w:r>
      <w:r>
        <w:fldChar w:fldCharType="separate"/>
      </w:r>
      <w:r>
        <w:rPr>
          <w:rFonts w:hint="eastAsia"/>
        </w:rPr>
        <w:t>第二节  确保经济安全</w:t>
      </w:r>
      <w:r>
        <w:tab/>
      </w:r>
      <w:r>
        <w:fldChar w:fldCharType="begin"/>
      </w:r>
      <w:r>
        <w:instrText xml:space="preserve"> PAGEREF _Toc13751 \h </w:instrText>
      </w:r>
      <w:r>
        <w:fldChar w:fldCharType="separate"/>
      </w:r>
      <w:r>
        <w:t>109</w:t>
      </w:r>
      <w:r>
        <w:fldChar w:fldCharType="end"/>
      </w:r>
      <w:r>
        <w:fldChar w:fldCharType="end"/>
      </w:r>
    </w:p>
    <w:p>
      <w:pPr>
        <w:pStyle w:val="15"/>
        <w:tabs>
          <w:tab w:val="right" w:leader="dot" w:pos="8958"/>
        </w:tabs>
        <w:ind w:firstLine="600"/>
      </w:pPr>
      <w:r>
        <w:fldChar w:fldCharType="begin"/>
      </w:r>
      <w:r>
        <w:instrText xml:space="preserve"> HYPERLINK \l "_Toc19552" </w:instrText>
      </w:r>
      <w:r>
        <w:fldChar w:fldCharType="separate"/>
      </w:r>
      <w:r>
        <w:rPr>
          <w:rFonts w:hint="eastAsia"/>
        </w:rPr>
        <w:t>第三节  保障公共安全</w:t>
      </w:r>
      <w:r>
        <w:tab/>
      </w:r>
      <w:r>
        <w:fldChar w:fldCharType="begin"/>
      </w:r>
      <w:r>
        <w:instrText xml:space="preserve"> PAGEREF _Toc19552 \h </w:instrText>
      </w:r>
      <w:r>
        <w:fldChar w:fldCharType="separate"/>
      </w:r>
      <w:r>
        <w:t>112</w:t>
      </w:r>
      <w:r>
        <w:fldChar w:fldCharType="end"/>
      </w:r>
      <w:r>
        <w:fldChar w:fldCharType="end"/>
      </w:r>
    </w:p>
    <w:p>
      <w:pPr>
        <w:pStyle w:val="13"/>
        <w:tabs>
          <w:tab w:val="right" w:leader="dot" w:pos="8958"/>
        </w:tabs>
      </w:pPr>
      <w:r>
        <w:fldChar w:fldCharType="begin"/>
      </w:r>
      <w:r>
        <w:instrText xml:space="preserve"> HYPERLINK \l "_Toc3594" </w:instrText>
      </w:r>
      <w:r>
        <w:fldChar w:fldCharType="separate"/>
      </w:r>
      <w:r>
        <w:rPr>
          <w:rFonts w:hint="eastAsia" w:ascii="方正小标宋_GBK" w:eastAsia="方正小标宋_GBK"/>
          <w:szCs w:val="36"/>
        </w:rPr>
        <w:t>第十五章  完善规划保障机制 确保规划有效落实</w:t>
      </w:r>
      <w:r>
        <w:tab/>
      </w:r>
      <w:r>
        <w:fldChar w:fldCharType="begin"/>
      </w:r>
      <w:r>
        <w:instrText xml:space="preserve"> PAGEREF _Toc3594 \h </w:instrText>
      </w:r>
      <w:r>
        <w:fldChar w:fldCharType="separate"/>
      </w:r>
      <w:r>
        <w:t>114</w:t>
      </w:r>
      <w:r>
        <w:fldChar w:fldCharType="end"/>
      </w:r>
      <w:r>
        <w:fldChar w:fldCharType="end"/>
      </w:r>
    </w:p>
    <w:p>
      <w:pPr>
        <w:pStyle w:val="15"/>
        <w:tabs>
          <w:tab w:val="right" w:leader="dot" w:pos="8958"/>
        </w:tabs>
        <w:ind w:firstLine="600"/>
      </w:pPr>
      <w:r>
        <w:fldChar w:fldCharType="begin"/>
      </w:r>
      <w:r>
        <w:instrText xml:space="preserve"> HYPERLINK \l "_Toc28551" </w:instrText>
      </w:r>
      <w:r>
        <w:fldChar w:fldCharType="separate"/>
      </w:r>
      <w:r>
        <w:t>第一节  加强</w:t>
      </w:r>
      <w:r>
        <w:rPr>
          <w:rFonts w:hint="eastAsia"/>
        </w:rPr>
        <w:t>党的全面领导</w:t>
      </w:r>
      <w:r>
        <w:tab/>
      </w:r>
      <w:r>
        <w:fldChar w:fldCharType="begin"/>
      </w:r>
      <w:r>
        <w:instrText xml:space="preserve"> PAGEREF _Toc28551 \h </w:instrText>
      </w:r>
      <w:r>
        <w:fldChar w:fldCharType="separate"/>
      </w:r>
      <w:r>
        <w:t>114</w:t>
      </w:r>
      <w:r>
        <w:fldChar w:fldCharType="end"/>
      </w:r>
      <w:r>
        <w:fldChar w:fldCharType="end"/>
      </w:r>
    </w:p>
    <w:p>
      <w:pPr>
        <w:pStyle w:val="15"/>
        <w:tabs>
          <w:tab w:val="right" w:leader="dot" w:pos="8958"/>
        </w:tabs>
        <w:ind w:firstLine="600"/>
      </w:pPr>
      <w:r>
        <w:fldChar w:fldCharType="begin"/>
      </w:r>
      <w:r>
        <w:instrText xml:space="preserve"> HYPERLINK \l "_Toc29010" </w:instrText>
      </w:r>
      <w:r>
        <w:fldChar w:fldCharType="separate"/>
      </w:r>
      <w:r>
        <w:t xml:space="preserve">第二节  </w:t>
      </w:r>
      <w:r>
        <w:rPr>
          <w:rFonts w:hint="eastAsia"/>
        </w:rPr>
        <w:t>完善规划体系</w:t>
      </w:r>
      <w:r>
        <w:tab/>
      </w:r>
      <w:r>
        <w:fldChar w:fldCharType="begin"/>
      </w:r>
      <w:r>
        <w:instrText xml:space="preserve"> PAGEREF _Toc29010 \h </w:instrText>
      </w:r>
      <w:r>
        <w:fldChar w:fldCharType="separate"/>
      </w:r>
      <w:r>
        <w:t>114</w:t>
      </w:r>
      <w:r>
        <w:fldChar w:fldCharType="end"/>
      </w:r>
      <w:r>
        <w:fldChar w:fldCharType="end"/>
      </w:r>
    </w:p>
    <w:p>
      <w:pPr>
        <w:pStyle w:val="15"/>
        <w:tabs>
          <w:tab w:val="right" w:leader="dot" w:pos="8958"/>
        </w:tabs>
        <w:ind w:firstLine="600"/>
      </w:pPr>
      <w:r>
        <w:fldChar w:fldCharType="begin"/>
      </w:r>
      <w:r>
        <w:instrText xml:space="preserve"> HYPERLINK \l "_Toc27680" </w:instrText>
      </w:r>
      <w:r>
        <w:fldChar w:fldCharType="separate"/>
      </w:r>
      <w:r>
        <w:t>第</w:t>
      </w:r>
      <w:r>
        <w:rPr>
          <w:rFonts w:hint="eastAsia"/>
        </w:rPr>
        <w:t>三</w:t>
      </w:r>
      <w:r>
        <w:t xml:space="preserve">节  </w:t>
      </w:r>
      <w:r>
        <w:rPr>
          <w:rFonts w:hint="eastAsia"/>
        </w:rPr>
        <w:t>健全保障机制</w:t>
      </w:r>
      <w:r>
        <w:tab/>
      </w:r>
      <w:r>
        <w:fldChar w:fldCharType="begin"/>
      </w:r>
      <w:r>
        <w:instrText xml:space="preserve"> PAGEREF _Toc27680 \h </w:instrText>
      </w:r>
      <w:r>
        <w:fldChar w:fldCharType="separate"/>
      </w:r>
      <w:r>
        <w:t>115</w:t>
      </w:r>
      <w:r>
        <w:fldChar w:fldCharType="end"/>
      </w:r>
      <w:r>
        <w:fldChar w:fldCharType="end"/>
      </w:r>
    </w:p>
    <w:p>
      <w:pPr>
        <w:pStyle w:val="15"/>
        <w:tabs>
          <w:tab w:val="right" w:leader="dot" w:pos="8958"/>
        </w:tabs>
        <w:ind w:firstLine="600"/>
      </w:pPr>
      <w:r>
        <w:fldChar w:fldCharType="begin"/>
      </w:r>
      <w:r>
        <w:instrText xml:space="preserve"> HYPERLINK \l "_Toc25174" </w:instrText>
      </w:r>
      <w:r>
        <w:fldChar w:fldCharType="separate"/>
      </w:r>
      <w:r>
        <w:t>第</w:t>
      </w:r>
      <w:r>
        <w:rPr>
          <w:rFonts w:hint="eastAsia"/>
        </w:rPr>
        <w:t>四</w:t>
      </w:r>
      <w:r>
        <w:t>节  强化重大项目支撑</w:t>
      </w:r>
      <w:r>
        <w:tab/>
      </w:r>
      <w:r>
        <w:fldChar w:fldCharType="begin"/>
      </w:r>
      <w:r>
        <w:instrText xml:space="preserve"> PAGEREF _Toc25174 \h </w:instrText>
      </w:r>
      <w:r>
        <w:fldChar w:fldCharType="separate"/>
      </w:r>
      <w:r>
        <w:t>116</w:t>
      </w:r>
      <w:r>
        <w:fldChar w:fldCharType="end"/>
      </w:r>
      <w:r>
        <w:fldChar w:fldCharType="end"/>
      </w:r>
    </w:p>
    <w:p>
      <w:pPr>
        <w:pStyle w:val="13"/>
        <w:tabs>
          <w:tab w:val="right" w:leader="dot" w:pos="8958"/>
        </w:tabs>
      </w:pPr>
      <w:r>
        <w:fldChar w:fldCharType="begin"/>
      </w:r>
      <w:r>
        <w:instrText xml:space="preserve"> HYPERLINK \l "_Toc22085" </w:instrText>
      </w:r>
      <w:r>
        <w:fldChar w:fldCharType="separate"/>
      </w:r>
      <w:r>
        <w:rPr>
          <w:rFonts w:hint="eastAsia" w:ascii="方正小标宋_GBK" w:eastAsia="方正小标宋_GBK"/>
          <w:szCs w:val="36"/>
        </w:rPr>
        <w:t>附件</w:t>
      </w:r>
      <w:r>
        <w:rPr>
          <w:rFonts w:eastAsia="方正小标宋_GBK"/>
          <w:szCs w:val="36"/>
        </w:rPr>
        <w:t>1</w:t>
      </w:r>
      <w:r>
        <w:rPr>
          <w:rFonts w:hint="eastAsia" w:ascii="方正小标宋_GBK" w:eastAsia="方正小标宋_GBK"/>
          <w:szCs w:val="36"/>
        </w:rPr>
        <w:t xml:space="preserve">  惠州市“十四五”重点专项规划目录清单</w:t>
      </w:r>
      <w:r>
        <w:tab/>
      </w:r>
      <w:r>
        <w:fldChar w:fldCharType="begin"/>
      </w:r>
      <w:r>
        <w:instrText xml:space="preserve"> PAGEREF _Toc22085 \h </w:instrText>
      </w:r>
      <w:r>
        <w:fldChar w:fldCharType="separate"/>
      </w:r>
      <w:r>
        <w:t>118</w:t>
      </w:r>
      <w:r>
        <w:fldChar w:fldCharType="end"/>
      </w:r>
      <w:r>
        <w:fldChar w:fldCharType="end"/>
      </w:r>
    </w:p>
    <w:p>
      <w:pPr>
        <w:pStyle w:val="13"/>
        <w:tabs>
          <w:tab w:val="right" w:leader="dot" w:pos="8958"/>
        </w:tabs>
      </w:pPr>
      <w:r>
        <w:fldChar w:fldCharType="begin"/>
      </w:r>
      <w:r>
        <w:instrText xml:space="preserve"> HYPERLINK \l "_Toc6006" </w:instrText>
      </w:r>
      <w:r>
        <w:fldChar w:fldCharType="separate"/>
      </w:r>
      <w:r>
        <w:rPr>
          <w:rFonts w:hint="eastAsia" w:ascii="方正小标宋_GBK" w:eastAsia="方正小标宋_GBK"/>
          <w:szCs w:val="36"/>
        </w:rPr>
        <w:t>附件</w:t>
      </w:r>
      <w:r>
        <w:rPr>
          <w:rFonts w:eastAsia="方正小标宋_GBK"/>
          <w:szCs w:val="36"/>
        </w:rPr>
        <w:t>2</w:t>
      </w:r>
      <w:r>
        <w:rPr>
          <w:rFonts w:hint="eastAsia" w:ascii="方正小标宋_GBK" w:eastAsia="方正小标宋_GBK"/>
          <w:szCs w:val="36"/>
        </w:rPr>
        <w:t xml:space="preserve">  惠州市“十四五”规划重大建设项目汇总表</w:t>
      </w:r>
      <w:r>
        <w:tab/>
      </w:r>
      <w:r>
        <w:fldChar w:fldCharType="begin"/>
      </w:r>
      <w:r>
        <w:instrText xml:space="preserve"> PAGEREF _Toc6006 \h </w:instrText>
      </w:r>
      <w:r>
        <w:fldChar w:fldCharType="separate"/>
      </w:r>
      <w:r>
        <w:t>119</w:t>
      </w:r>
      <w:r>
        <w:fldChar w:fldCharType="end"/>
      </w:r>
      <w:r>
        <w:fldChar w:fldCharType="end"/>
      </w:r>
    </w:p>
    <w:p>
      <w:pPr>
        <w:tabs>
          <w:tab w:val="right" w:leader="dot" w:pos="8931"/>
        </w:tabs>
        <w:overflowPunct w:val="0"/>
        <w:ind w:firstLine="0" w:firstLineChars="0"/>
        <w:rPr>
          <w:sz w:val="30"/>
          <w:szCs w:val="30"/>
        </w:rPr>
      </w:pPr>
      <w:r>
        <w:rPr>
          <w:rFonts w:eastAsia="宋体"/>
          <w:szCs w:val="30"/>
        </w:rPr>
        <w:fldChar w:fldCharType="end"/>
      </w:r>
    </w:p>
    <w:p>
      <w:pPr>
        <w:overflowPunct w:val="0"/>
        <w:spacing w:line="600" w:lineRule="exact"/>
        <w:ind w:firstLine="0" w:firstLineChars="0"/>
      </w:pPr>
    </w:p>
    <w:p>
      <w:pPr>
        <w:overflowPunct w:val="0"/>
        <w:spacing w:line="600" w:lineRule="exact"/>
        <w:ind w:firstLine="0" w:firstLineChars="0"/>
        <w:sectPr>
          <w:footerReference r:id="rId7" w:type="default"/>
          <w:pgSz w:w="11906" w:h="16838"/>
          <w:pgMar w:top="1814" w:right="1474" w:bottom="1418" w:left="1474" w:header="851" w:footer="992" w:gutter="0"/>
          <w:pgNumType w:start="1"/>
          <w:cols w:space="720" w:num="1"/>
          <w:docGrid w:linePitch="435" w:charSpace="0"/>
        </w:sectPr>
      </w:pPr>
    </w:p>
    <w:p>
      <w:pPr>
        <w:pStyle w:val="4"/>
        <w:overflowPunct w:val="0"/>
        <w:rPr>
          <w:rFonts w:ascii="方正小标宋_GBK" w:eastAsia="方正小标宋_GBK"/>
          <w:sz w:val="36"/>
          <w:szCs w:val="36"/>
        </w:rPr>
      </w:pPr>
      <w:bookmarkStart w:id="0" w:name="_Toc18240"/>
      <w:bookmarkStart w:id="1" w:name="_Toc12320"/>
      <w:bookmarkStart w:id="2" w:name="_Toc12739"/>
      <w:bookmarkStart w:id="3" w:name="_Toc8849"/>
      <w:r>
        <w:rPr>
          <w:rFonts w:hint="eastAsia" w:ascii="方正小标宋_GBK" w:eastAsia="方正小标宋_GBK"/>
          <w:sz w:val="36"/>
          <w:szCs w:val="36"/>
        </w:rPr>
        <w:t>前  言</w:t>
      </w:r>
      <w:bookmarkEnd w:id="0"/>
      <w:bookmarkEnd w:id="1"/>
      <w:bookmarkEnd w:id="2"/>
      <w:bookmarkEnd w:id="3"/>
    </w:p>
    <w:p>
      <w:pPr>
        <w:overflowPunct w:val="0"/>
        <w:spacing w:line="600" w:lineRule="exact"/>
        <w:ind w:firstLine="640"/>
      </w:pPr>
    </w:p>
    <w:p>
      <w:pPr>
        <w:overflowPunct w:val="0"/>
        <w:spacing w:line="600" w:lineRule="exact"/>
        <w:ind w:firstLine="656"/>
        <w:rPr>
          <w:spacing w:val="4"/>
        </w:rPr>
      </w:pPr>
      <w:r>
        <w:rPr>
          <w:rFonts w:hint="eastAsia"/>
          <w:spacing w:val="4"/>
        </w:rPr>
        <w:t>“</w:t>
      </w:r>
      <w:r>
        <w:rPr>
          <w:spacing w:val="4"/>
        </w:rPr>
        <w:t>十四五</w:t>
      </w:r>
      <w:r>
        <w:rPr>
          <w:rFonts w:hint="eastAsia"/>
          <w:spacing w:val="4"/>
        </w:rPr>
        <w:t>”</w:t>
      </w:r>
      <w:r>
        <w:rPr>
          <w:spacing w:val="4"/>
        </w:rPr>
        <w:t>时期（2021-2025年）是全面建成小康社会、实现第一个百年奋斗目标之后，乘势而上开启全面建设社会主义现代化国家新征程、向第二个百年奋斗目标进军的第一个五年，也是惠州持续推进产业转型升级，全面提升城市综合竞争力，加快打造珠江东岸新增长极、粤港澳大湾区高质量发展重要地区和</w:t>
      </w:r>
      <w:r>
        <w:rPr>
          <w:rFonts w:hint="eastAsia"/>
          <w:spacing w:val="4"/>
        </w:rPr>
        <w:t>更加幸福</w:t>
      </w:r>
      <w:r>
        <w:rPr>
          <w:spacing w:val="4"/>
        </w:rPr>
        <w:t>国内一流城市的战略机遇期。科学编制并组织实施好《惠州市国民经济和社会发展第十四个五年规划</w:t>
      </w:r>
      <w:r>
        <w:rPr>
          <w:rFonts w:hint="eastAsia"/>
          <w:spacing w:val="4"/>
        </w:rPr>
        <w:t>和2035年远景目标</w:t>
      </w:r>
      <w:r>
        <w:rPr>
          <w:spacing w:val="4"/>
        </w:rPr>
        <w:t>纲要》，意义重大，影响深远。</w:t>
      </w:r>
    </w:p>
    <w:p>
      <w:pPr>
        <w:overflowPunct w:val="0"/>
        <w:spacing w:line="600" w:lineRule="exact"/>
        <w:ind w:firstLine="640"/>
      </w:pPr>
      <w:r>
        <w:t>本规划纲要根据</w:t>
      </w:r>
      <w:r>
        <w:rPr>
          <w:rFonts w:hint="eastAsia"/>
        </w:rPr>
        <w:t>党的十九届五中全会、省委十二届十二次全会精神</w:t>
      </w:r>
      <w:r>
        <w:t>和《中共惠州市委关于制定国民经济和社会发展第十四个五年规划</w:t>
      </w:r>
      <w:r>
        <w:rPr>
          <w:rFonts w:hint="eastAsia"/>
        </w:rPr>
        <w:t>和</w:t>
      </w:r>
      <w:r>
        <w:rPr>
          <w:rFonts w:hint="eastAsia"/>
          <w:spacing w:val="4"/>
        </w:rPr>
        <w:t>二〇三五年远景目标</w:t>
      </w:r>
      <w:r>
        <w:t>的建议》编制，主要明确</w:t>
      </w:r>
      <w:r>
        <w:rPr>
          <w:rFonts w:hint="eastAsia"/>
        </w:rPr>
        <w:t>“</w:t>
      </w:r>
      <w:r>
        <w:t>十四五</w:t>
      </w:r>
      <w:r>
        <w:rPr>
          <w:rFonts w:hint="eastAsia"/>
        </w:rPr>
        <w:t>”</w:t>
      </w:r>
      <w:r>
        <w:t>期间惠州经济社会发展的指导思想、基本原则、发展目标、发展要求，谋划重大战略，部署重大任务，</w:t>
      </w:r>
      <w:r>
        <w:rPr>
          <w:rFonts w:hint="eastAsia"/>
        </w:rPr>
        <w:t>并对2035年远景目标进行展望，是战略性、宏观性、政策性规划，</w:t>
      </w:r>
      <w:r>
        <w:t>是政府履行经济调节、市场监管、社会管理、公共服务和生态环境保护</w:t>
      </w:r>
      <w:r>
        <w:rPr>
          <w:rFonts w:hint="eastAsia"/>
        </w:rPr>
        <w:t>职能</w:t>
      </w:r>
      <w:r>
        <w:t>的重要依据，是未来五年惠州国民经济和社会发展的宏伟蓝图和全市人民共同的行动纲领。</w:t>
      </w:r>
    </w:p>
    <w:p>
      <w:pPr>
        <w:overflowPunct w:val="0"/>
        <w:spacing w:line="600" w:lineRule="exact"/>
        <w:ind w:firstLine="640"/>
      </w:pPr>
    </w:p>
    <w:p>
      <w:pPr>
        <w:overflowPunct w:val="0"/>
        <w:spacing w:line="600" w:lineRule="exact"/>
        <w:ind w:firstLine="640"/>
      </w:pPr>
    </w:p>
    <w:p>
      <w:pPr>
        <w:overflowPunct w:val="0"/>
        <w:spacing w:line="600" w:lineRule="exact"/>
        <w:ind w:firstLine="640"/>
      </w:pPr>
    </w:p>
    <w:p>
      <w:pPr>
        <w:overflowPunct w:val="0"/>
        <w:spacing w:line="600" w:lineRule="exact"/>
        <w:ind w:firstLine="640"/>
      </w:pPr>
    </w:p>
    <w:p>
      <w:pPr>
        <w:pStyle w:val="4"/>
        <w:overflowPunct w:val="0"/>
        <w:rPr>
          <w:rFonts w:ascii="方正小标宋_GBK" w:eastAsia="方正小标宋_GBK"/>
          <w:sz w:val="36"/>
          <w:szCs w:val="36"/>
        </w:rPr>
      </w:pPr>
      <w:bookmarkStart w:id="4" w:name="_Toc12868"/>
      <w:bookmarkStart w:id="5" w:name="_Toc22355"/>
      <w:bookmarkStart w:id="6" w:name="_Toc27607"/>
      <w:bookmarkStart w:id="7" w:name="_Toc29932"/>
      <w:r>
        <w:rPr>
          <w:rFonts w:ascii="方正小标宋_GBK" w:eastAsia="方正小标宋_GBK"/>
          <w:sz w:val="36"/>
          <w:szCs w:val="36"/>
        </w:rPr>
        <w:t xml:space="preserve">第一章  </w:t>
      </w:r>
      <w:r>
        <w:rPr>
          <w:rFonts w:hint="eastAsia" w:ascii="宋体" w:hAnsi="宋体" w:eastAsia="宋体" w:cs="宋体"/>
          <w:sz w:val="36"/>
          <w:szCs w:val="36"/>
        </w:rPr>
        <w:t>“</w:t>
      </w:r>
      <w:r>
        <w:rPr>
          <w:rFonts w:hint="eastAsia" w:ascii="方正小标宋_GBK" w:eastAsia="方正小标宋_GBK"/>
          <w:sz w:val="36"/>
          <w:szCs w:val="36"/>
        </w:rPr>
        <w:t>十三五</w:t>
      </w:r>
      <w:r>
        <w:rPr>
          <w:rFonts w:hint="eastAsia" w:ascii="宋体" w:hAnsi="宋体" w:eastAsia="宋体" w:cs="宋体"/>
          <w:sz w:val="36"/>
          <w:szCs w:val="36"/>
        </w:rPr>
        <w:t>”</w:t>
      </w:r>
      <w:r>
        <w:rPr>
          <w:rFonts w:hint="eastAsia" w:ascii="方正小标宋_GBK" w:eastAsia="方正小标宋_GBK"/>
          <w:sz w:val="36"/>
          <w:szCs w:val="36"/>
        </w:rPr>
        <w:t>发展成就和</w:t>
      </w:r>
      <w:r>
        <w:rPr>
          <w:rFonts w:hint="eastAsia" w:ascii="宋体" w:hAnsi="宋体" w:eastAsia="宋体" w:cs="宋体"/>
          <w:sz w:val="36"/>
          <w:szCs w:val="36"/>
        </w:rPr>
        <w:t>“</w:t>
      </w:r>
      <w:r>
        <w:rPr>
          <w:rFonts w:hint="eastAsia" w:ascii="方正小标宋_GBK" w:eastAsia="方正小标宋_GBK"/>
          <w:sz w:val="36"/>
          <w:szCs w:val="36"/>
        </w:rPr>
        <w:t>十四五</w:t>
      </w:r>
      <w:r>
        <w:rPr>
          <w:rFonts w:hint="eastAsia" w:ascii="宋体" w:hAnsi="宋体" w:eastAsia="宋体" w:cs="宋体"/>
          <w:sz w:val="36"/>
          <w:szCs w:val="36"/>
        </w:rPr>
        <w:t>”</w:t>
      </w:r>
      <w:r>
        <w:rPr>
          <w:rFonts w:hint="eastAsia" w:ascii="方正小标宋_GBK" w:eastAsia="方正小标宋_GBK"/>
          <w:sz w:val="36"/>
          <w:szCs w:val="36"/>
        </w:rPr>
        <w:t>发展环境</w:t>
      </w:r>
      <w:bookmarkEnd w:id="4"/>
      <w:bookmarkEnd w:id="5"/>
      <w:bookmarkEnd w:id="6"/>
      <w:bookmarkEnd w:id="7"/>
    </w:p>
    <w:p>
      <w:pPr>
        <w:overflowPunct w:val="0"/>
        <w:spacing w:line="600" w:lineRule="exact"/>
        <w:ind w:firstLine="640"/>
      </w:pPr>
    </w:p>
    <w:p>
      <w:pPr>
        <w:overflowPunct w:val="0"/>
        <w:spacing w:line="600" w:lineRule="exact"/>
        <w:ind w:firstLine="640"/>
      </w:pPr>
      <w:r>
        <w:rPr>
          <w:rFonts w:hint="eastAsia"/>
        </w:rPr>
        <w:t>“</w:t>
      </w:r>
      <w:r>
        <w:t>十三五</w:t>
      </w:r>
      <w:r>
        <w:rPr>
          <w:rFonts w:hint="eastAsia"/>
        </w:rPr>
        <w:t>”</w:t>
      </w:r>
      <w:r>
        <w:t>时期是惠州市发展极不平凡的五年，经济社会发展取得显著成就。</w:t>
      </w:r>
      <w:r>
        <w:rPr>
          <w:rFonts w:hint="eastAsia"/>
        </w:rPr>
        <w:t>“</w:t>
      </w:r>
      <w:r>
        <w:t>十四五</w:t>
      </w:r>
      <w:r>
        <w:rPr>
          <w:rFonts w:hint="eastAsia"/>
        </w:rPr>
        <w:t>”</w:t>
      </w:r>
      <w:r>
        <w:t>时期，</w:t>
      </w:r>
      <w:r>
        <w:rPr>
          <w:rFonts w:hint="eastAsia"/>
        </w:rPr>
        <w:t>世界处于动荡变革期，</w:t>
      </w:r>
      <w:r>
        <w:t>我国已转向高质量发展阶段，将在全面建成小康社会基础上开启全面建设社会主义现代化国家新征程。进入新发展阶段，我们要辩证认识和把握国内外大势，抓住机遇，应对挑战，趋利避害，奋勇前进。</w:t>
      </w:r>
    </w:p>
    <w:p>
      <w:pPr>
        <w:overflowPunct w:val="0"/>
        <w:spacing w:line="600" w:lineRule="exact"/>
        <w:ind w:firstLine="640"/>
      </w:pPr>
    </w:p>
    <w:p>
      <w:pPr>
        <w:pStyle w:val="5"/>
        <w:overflowPunct w:val="0"/>
        <w:spacing w:line="600" w:lineRule="exact"/>
        <w:rPr>
          <w:rFonts w:ascii="Times New Roman" w:hAnsi="Times New Roman"/>
        </w:rPr>
      </w:pPr>
      <w:bookmarkStart w:id="8" w:name="_Toc17115"/>
      <w:bookmarkStart w:id="9" w:name="_Toc3757"/>
      <w:bookmarkStart w:id="10" w:name="_Toc29612"/>
      <w:bookmarkStart w:id="11" w:name="_Toc29448"/>
      <w:r>
        <w:rPr>
          <w:rFonts w:hint="eastAsia" w:ascii="黑体" w:hAnsi="黑体" w:cs="黑体"/>
        </w:rPr>
        <w:t>第一节  “十三五”发展成就</w:t>
      </w:r>
      <w:bookmarkEnd w:id="8"/>
      <w:bookmarkEnd w:id="9"/>
      <w:bookmarkEnd w:id="10"/>
      <w:bookmarkEnd w:id="11"/>
    </w:p>
    <w:p>
      <w:pPr>
        <w:overflowPunct w:val="0"/>
        <w:spacing w:line="600" w:lineRule="exact"/>
        <w:ind w:firstLine="640"/>
      </w:pPr>
      <w:r>
        <w:t>面对</w:t>
      </w:r>
      <w:r>
        <w:rPr>
          <w:rFonts w:hint="eastAsia"/>
        </w:rPr>
        <w:t>“</w:t>
      </w:r>
      <w:r>
        <w:t>十三五</w:t>
      </w:r>
      <w:r>
        <w:rPr>
          <w:rFonts w:hint="eastAsia"/>
        </w:rPr>
        <w:t>”</w:t>
      </w:r>
      <w:r>
        <w:t>时期经济下行压力加大、中美经贸摩擦和重大疫情等多重影响，惠州深入实施一系列事关全局的重大战略、重大举措，开工建设一批影响深远的重大项目，积极有效应对纷繁复杂的风险挑战，</w:t>
      </w:r>
      <w:r>
        <w:rPr>
          <w:rFonts w:hint="eastAsia"/>
        </w:rPr>
        <w:t>“</w:t>
      </w:r>
      <w:r>
        <w:t>十三五</w:t>
      </w:r>
      <w:r>
        <w:rPr>
          <w:rFonts w:hint="eastAsia"/>
        </w:rPr>
        <w:t>”</w:t>
      </w:r>
      <w:r>
        <w:t>经济社会发展取得</w:t>
      </w:r>
      <w:r>
        <w:rPr>
          <w:rFonts w:hint="eastAsia"/>
        </w:rPr>
        <w:t>长足进步</w:t>
      </w:r>
      <w:r>
        <w:t>，</w:t>
      </w:r>
      <w:r>
        <w:rPr>
          <w:rFonts w:hint="eastAsia"/>
        </w:rPr>
        <w:t>决胜</w:t>
      </w:r>
      <w:r>
        <w:t>全面建成小康社会取得决定性成</w:t>
      </w:r>
      <w:r>
        <w:rPr>
          <w:rFonts w:hint="eastAsia"/>
        </w:rPr>
        <w:t>就</w:t>
      </w:r>
      <w:r>
        <w:t>。</w:t>
      </w:r>
    </w:p>
    <w:p>
      <w:pPr>
        <w:overflowPunct w:val="0"/>
        <w:spacing w:line="600" w:lineRule="exact"/>
        <w:ind w:firstLine="643"/>
      </w:pPr>
      <w:r>
        <w:rPr>
          <w:b/>
          <w:bCs/>
        </w:rPr>
        <w:t>经济实力显著增强。</w:t>
      </w:r>
      <w:r>
        <w:t>2020年（下同），</w:t>
      </w:r>
      <w:r>
        <w:rPr>
          <w:rFonts w:hint="eastAsia"/>
        </w:rPr>
        <w:t>惠州</w:t>
      </w:r>
      <w:r>
        <w:t>地区生产总值4222亿元，</w:t>
      </w:r>
      <w:r>
        <w:rPr>
          <w:rFonts w:hint="eastAsia"/>
        </w:rPr>
        <w:t>五年</w:t>
      </w:r>
      <w:r>
        <w:t>年均增长5.5%；一般公共预算收入达412亿元；累计完成固定资产投资10640亿</w:t>
      </w:r>
      <w:r>
        <w:rPr>
          <w:rFonts w:hint="eastAsia"/>
        </w:rPr>
        <w:t>元</w:t>
      </w:r>
      <w:r>
        <w:t>，</w:t>
      </w:r>
      <w:r>
        <w:rPr>
          <w:rFonts w:hint="eastAsia"/>
        </w:rPr>
        <w:t>五年</w:t>
      </w:r>
      <w:r>
        <w:t>年均增长10.6%。惠州制造展现硬核竞争力，一批烯烃、芳烃</w:t>
      </w:r>
      <w:r>
        <w:rPr>
          <w:rFonts w:hint="eastAsia"/>
        </w:rPr>
        <w:t>等</w:t>
      </w:r>
      <w:r>
        <w:t>重大石化项目加快建设，埃克森美孚、中海壳牌三期、恒力石化等一批大项目顺利落户，惠州新材料产业园启动建设，大亚湾石化区炼化一体化规模跃居全国第一，4K电视机产量占全国1/3，生命健康产业加快培育，先进制造业、高技术制造业增加值占规模以上工业增加值比重分别达64.2%、43.8%。</w:t>
      </w:r>
    </w:p>
    <w:p>
      <w:pPr>
        <w:overflowPunct w:val="0"/>
        <w:spacing w:line="600" w:lineRule="exact"/>
        <w:ind w:firstLine="640"/>
      </w:pPr>
    </w:p>
    <w:p>
      <w:pPr>
        <w:spacing w:line="240" w:lineRule="auto"/>
        <w:ind w:firstLine="0" w:firstLineChars="0"/>
        <w:jc w:val="center"/>
      </w:pPr>
      <w:r>
        <w:drawing>
          <wp:inline distT="0" distB="0" distL="114300" distR="114300">
            <wp:extent cx="5618480" cy="3302635"/>
            <wp:effectExtent l="4445" t="4445" r="15875" b="7620"/>
            <wp:docPr id="2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26"/>
      </w:pPr>
      <w:r>
        <w:t xml:space="preserve">图1 </w:t>
      </w:r>
      <w:r>
        <w:rPr>
          <w:rFonts w:hint="eastAsia"/>
        </w:rPr>
        <w:t>“</w:t>
      </w:r>
      <w:r>
        <w:t>十三五</w:t>
      </w:r>
      <w:r>
        <w:rPr>
          <w:rFonts w:hint="eastAsia"/>
        </w:rPr>
        <w:t>”</w:t>
      </w:r>
      <w:r>
        <w:t>时期惠州</w:t>
      </w:r>
      <w:r>
        <w:rPr>
          <w:rFonts w:hint="eastAsia"/>
        </w:rPr>
        <w:t>地区生产总值</w:t>
      </w:r>
      <w:r>
        <w:t>（亿元）</w:t>
      </w:r>
    </w:p>
    <w:p>
      <w:pPr>
        <w:overflowPunct w:val="0"/>
        <w:spacing w:line="300" w:lineRule="exact"/>
        <w:ind w:firstLine="640"/>
      </w:pPr>
    </w:p>
    <w:p>
      <w:pPr>
        <w:overflowPunct w:val="0"/>
        <w:spacing w:line="600" w:lineRule="exact"/>
        <w:ind w:firstLine="643"/>
      </w:pPr>
      <w:r>
        <w:rPr>
          <w:b/>
          <w:bCs/>
        </w:rPr>
        <w:t>创新能力不断提升。</w:t>
      </w:r>
      <w:r>
        <w:t>深入实施创新驱动发展战略，仲恺高新区升格为国家级</w:t>
      </w:r>
      <w:r>
        <w:rPr>
          <w:rFonts w:hint="eastAsia"/>
        </w:rPr>
        <w:t>“</w:t>
      </w:r>
      <w:r>
        <w:t>双创</w:t>
      </w:r>
      <w:r>
        <w:rPr>
          <w:rFonts w:hint="eastAsia"/>
        </w:rPr>
        <w:t>”</w:t>
      </w:r>
      <w:r>
        <w:t>示范基地，珠三角（惠州）国家自主创新示范区、稔平半岛能源科技岛、先进能源科学与技术广东省实验室等重大创新平台建设取得新进展。加速器驱动嬗变研究装置、强流重离子加速器装置启动建设。</w:t>
      </w:r>
      <w:r>
        <w:rPr>
          <w:rFonts w:hint="eastAsia"/>
        </w:rPr>
        <w:t>全市研发经费支出</w:t>
      </w:r>
      <w:r>
        <w:t>占</w:t>
      </w:r>
      <w:r>
        <w:rPr>
          <w:rFonts w:hint="eastAsia"/>
        </w:rPr>
        <w:t>地区生产总值</w:t>
      </w:r>
      <w:r>
        <w:t>比重达2.7%，比2015年提高0.6</w:t>
      </w:r>
      <w:r>
        <w:rPr>
          <w:rFonts w:hint="eastAsia"/>
        </w:rPr>
        <w:t>7</w:t>
      </w:r>
      <w:r>
        <w:t>个百分点；国家高新技术企业达16</w:t>
      </w:r>
      <w:r>
        <w:rPr>
          <w:rFonts w:hint="eastAsia"/>
        </w:rPr>
        <w:t>28</w:t>
      </w:r>
      <w:r>
        <w:t>家，比2015年增加137</w:t>
      </w:r>
      <w:r>
        <w:rPr>
          <w:rFonts w:hint="eastAsia"/>
        </w:rPr>
        <w:t>3</w:t>
      </w:r>
      <w:r>
        <w:t>家。</w:t>
      </w:r>
    </w:p>
    <w:p>
      <w:pPr>
        <w:overflowPunct w:val="0"/>
        <w:spacing w:line="600" w:lineRule="exact"/>
        <w:ind w:firstLine="643"/>
      </w:pPr>
      <w:r>
        <w:rPr>
          <w:b/>
          <w:bCs/>
        </w:rPr>
        <w:t>基础设施日臻完善。</w:t>
      </w:r>
      <w:r>
        <w:t>开创性规划建设</w:t>
      </w:r>
      <w:r>
        <w:rPr>
          <w:rFonts w:hint="eastAsia"/>
        </w:rPr>
        <w:t>“</w:t>
      </w:r>
      <w:r>
        <w:t>丰</w:t>
      </w:r>
      <w:r>
        <w:rPr>
          <w:rFonts w:hint="eastAsia"/>
        </w:rPr>
        <w:t>”</w:t>
      </w:r>
      <w:r>
        <w:t>字</w:t>
      </w:r>
      <w:r>
        <w:rPr>
          <w:rFonts w:hint="eastAsia"/>
        </w:rPr>
        <w:t>道路</w:t>
      </w:r>
      <w:r>
        <w:t>交通主框架。完成惠州机场扩容扩建工程，</w:t>
      </w:r>
      <w:r>
        <w:rPr>
          <w:rFonts w:hint="eastAsia"/>
        </w:rPr>
        <w:t>开通47条航线、</w:t>
      </w:r>
      <w:r>
        <w:t>通航</w:t>
      </w:r>
      <w:r>
        <w:rPr>
          <w:rFonts w:hint="eastAsia"/>
        </w:rPr>
        <w:t>40</w:t>
      </w:r>
      <w:r>
        <w:t>个城市，旅客吞吐量跻身全国百强第55位。赣深高铁、广汕高铁惠州段建设进展顺利。全市境内高速公路通车里程数达851公里，居全省第二位；改扩建省道193公里，建设</w:t>
      </w:r>
      <w:r>
        <w:rPr>
          <w:rFonts w:hint="eastAsia"/>
        </w:rPr>
        <w:t>“</w:t>
      </w:r>
      <w:r>
        <w:t>四好农村路</w:t>
      </w:r>
      <w:r>
        <w:rPr>
          <w:rFonts w:hint="eastAsia"/>
        </w:rPr>
        <w:t>”</w:t>
      </w:r>
      <w:r>
        <w:t>3200公里</w:t>
      </w:r>
      <w:r>
        <w:rPr>
          <w:rFonts w:hint="eastAsia"/>
        </w:rPr>
        <w:t>。</w:t>
      </w:r>
      <w:r>
        <w:t>完成惠州港荃湾港区国际集装箱码头、煤炭码头一期和主航道扩建工程。新增清洁能源发电装机容量200余万千瓦，市域内陆上建成油气管道总长627公里，500千伏输电线路长度居全省首位。固定宽带</w:t>
      </w:r>
      <w:r>
        <w:rPr>
          <w:rFonts w:hint="eastAsia"/>
        </w:rPr>
        <w:t>家庭</w:t>
      </w:r>
      <w:r>
        <w:t>普及率159.5%。市中心防洪能力达到百年一遇标准。行政村集中供水实现全覆盖。</w:t>
      </w:r>
    </w:p>
    <w:p>
      <w:pPr>
        <w:overflowPunct w:val="0"/>
        <w:spacing w:line="600" w:lineRule="exact"/>
        <w:ind w:firstLine="643"/>
      </w:pPr>
      <w:r>
        <w:rPr>
          <w:b/>
          <w:bCs/>
        </w:rPr>
        <w:t>区域城乡协调发展步伐加快。</w:t>
      </w:r>
      <w:r>
        <w:t>启动新一轮国土空间规划编制。县区差异化高质量发展打开新局面。城镇建设实现扩容提质，惠东、博罗、龙门列入全国县城新型城镇化建设示范县。全面开展</w:t>
      </w:r>
      <w:r>
        <w:rPr>
          <w:rFonts w:hint="eastAsia"/>
        </w:rPr>
        <w:t>“</w:t>
      </w:r>
      <w:r>
        <w:t>两违</w:t>
      </w:r>
      <w:r>
        <w:rPr>
          <w:rFonts w:hint="eastAsia"/>
        </w:rPr>
        <w:t>”</w:t>
      </w:r>
      <w:r>
        <w:t>建筑拆除、交通堵点整治、</w:t>
      </w:r>
      <w:r>
        <w:rPr>
          <w:rFonts w:hint="eastAsia"/>
        </w:rPr>
        <w:t>“</w:t>
      </w:r>
      <w:r>
        <w:t>惠民空间</w:t>
      </w:r>
      <w:r>
        <w:rPr>
          <w:rFonts w:hint="eastAsia"/>
        </w:rPr>
        <w:t>”</w:t>
      </w:r>
      <w:r>
        <w:t>老旧</w:t>
      </w:r>
      <w:r>
        <w:rPr>
          <w:rFonts w:hint="eastAsia"/>
        </w:rPr>
        <w:t>小区</w:t>
      </w:r>
      <w:r>
        <w:t>微改造等，城市形象革新成效明显。实施乡村振兴战略取得积极成效。全市46个省定贫困村15188户35546人建档立卡贫困人口全部达到脱贫退出标准，全面小康路上不漏一户、不落一人。</w:t>
      </w:r>
    </w:p>
    <w:p>
      <w:pPr>
        <w:overflowPunct w:val="0"/>
        <w:spacing w:line="600" w:lineRule="exact"/>
        <w:ind w:firstLine="643"/>
      </w:pPr>
      <w:r>
        <w:rPr>
          <w:b/>
          <w:bCs/>
        </w:rPr>
        <w:t>重点领域改革持续深化。</w:t>
      </w:r>
      <w:r>
        <w:t>全面完成党政机构改革。</w:t>
      </w:r>
      <w:r>
        <w:rPr>
          <w:rFonts w:hint="eastAsia"/>
        </w:rPr>
        <w:t>“</w:t>
      </w:r>
      <w:r>
        <w:t>放管服</w:t>
      </w:r>
      <w:r>
        <w:rPr>
          <w:rFonts w:hint="eastAsia"/>
        </w:rPr>
        <w:t>”</w:t>
      </w:r>
      <w:r>
        <w:t>改革持续深化。商事制度改革全面深化，企业开办时间实现1日办结。建设工程项目</w:t>
      </w:r>
      <w:r>
        <w:rPr>
          <w:rFonts w:hint="eastAsia"/>
        </w:rPr>
        <w:t>“</w:t>
      </w:r>
      <w:r>
        <w:t>信用快审</w:t>
      </w:r>
      <w:r>
        <w:rPr>
          <w:rFonts w:hint="eastAsia"/>
        </w:rPr>
        <w:t>”</w:t>
      </w:r>
      <w:r>
        <w:t>承诺制全面推行，工业项目施工图审查实行容缺承诺办理，区域环评制度全市实施。创新设立解决企业困难</w:t>
      </w:r>
      <w:r>
        <w:rPr>
          <w:rFonts w:hint="eastAsia"/>
        </w:rPr>
        <w:t>“</w:t>
      </w:r>
      <w:r>
        <w:t>直通车</w:t>
      </w:r>
      <w:r>
        <w:rPr>
          <w:rFonts w:hint="eastAsia"/>
        </w:rPr>
        <w:t>”</w:t>
      </w:r>
      <w:r>
        <w:t>制度。建立重大项目专班机制，加快重大项目落地建设。全面推进供排污一体化改革，全市域全流域水环境一体化治理格局初步显现。成功创建全国首批国家社会信用体系建设示范城市。国有企业改革、财政金融体制改革以及水、电、气资源性价格改革等顺利推进。</w:t>
      </w:r>
    </w:p>
    <w:p>
      <w:pPr>
        <w:overflowPunct w:val="0"/>
        <w:spacing w:line="600" w:lineRule="exact"/>
        <w:ind w:firstLine="643"/>
      </w:pPr>
      <w:r>
        <w:rPr>
          <w:b/>
          <w:bCs/>
        </w:rPr>
        <w:t>生态文明建设成效明显。</w:t>
      </w:r>
      <w:r>
        <w:t>获评全国首批国家生态文明建设示范市，成功创建全国水生态文明城市。聚力打好打赢蓝天保卫、碧水攻坚、净土防御三大战役，15个国省考断面水质100%达标，东江水质和近岸海域水质保持优良，城市建成区27条黑臭水体实现</w:t>
      </w:r>
      <w:r>
        <w:rPr>
          <w:rFonts w:hint="eastAsia"/>
        </w:rPr>
        <w:t>“</w:t>
      </w:r>
      <w:r>
        <w:t>长制久清</w:t>
      </w:r>
      <w:r>
        <w:rPr>
          <w:rFonts w:hint="eastAsia"/>
        </w:rPr>
        <w:t>”</w:t>
      </w:r>
      <w:r>
        <w:t>，空气质量优良率稳居全国168个重点监测城市前10位，城镇生活垃圾无害化处理率达100%。森林覆盖率61.61%，森林蓄积量4003万立方米，市区绿地率达39.7%。公交车电动化率、泥头车密闭化率达100%。</w:t>
      </w:r>
    </w:p>
    <w:p>
      <w:pPr>
        <w:overflowPunct w:val="0"/>
        <w:spacing w:line="600" w:lineRule="exact"/>
        <w:ind w:firstLine="643"/>
      </w:pPr>
      <w:r>
        <w:rPr>
          <w:b/>
          <w:bCs/>
        </w:rPr>
        <w:t>对外开放取得新进展。</w:t>
      </w:r>
      <w:r>
        <w:t>中韩（惠州）产业园获国务院批复设立，起步区开发建设呈现良好态势，五大片区</w:t>
      </w:r>
      <w:r>
        <w:rPr>
          <w:vertAlign w:val="superscript"/>
        </w:rPr>
        <w:footnoteReference w:id="0"/>
      </w:r>
      <w:r>
        <w:t>全面启动建设。成功获批全国跨境电商综合试验区城市，首个跨境电商分拣清关中心启用并开通B2B业务。推进粤港澳大湾区建设迈出坚实步伐，与广深港澳等地经贸交流合作日益密切。与全球190多个国家和地区建立经贸关系，吸引50多个国家和地区的客商在惠投资兴业，累计在19个国家和地区设立136家企业。</w:t>
      </w:r>
    </w:p>
    <w:p>
      <w:pPr>
        <w:overflowPunct w:val="0"/>
        <w:spacing w:line="600" w:lineRule="exact"/>
        <w:ind w:firstLine="643"/>
      </w:pPr>
      <w:r>
        <w:rPr>
          <w:b/>
          <w:bCs/>
        </w:rPr>
        <w:t>民生保障不断改善。</w:t>
      </w:r>
      <w:r>
        <w:rPr>
          <w:rFonts w:hint="eastAsia"/>
        </w:rPr>
        <w:t>全市</w:t>
      </w:r>
      <w:r>
        <w:t>居民</w:t>
      </w:r>
      <w:r>
        <w:rPr>
          <w:rFonts w:hint="eastAsia"/>
        </w:rPr>
        <w:t>人均</w:t>
      </w:r>
      <w:r>
        <w:t>可支配收入达39745元，</w:t>
      </w:r>
      <w:r>
        <w:rPr>
          <w:rFonts w:hint="eastAsia"/>
        </w:rPr>
        <w:t>“</w:t>
      </w:r>
      <w:r>
        <w:t>十三五</w:t>
      </w:r>
      <w:r>
        <w:rPr>
          <w:rFonts w:hint="eastAsia"/>
        </w:rPr>
        <w:t>”</w:t>
      </w:r>
      <w:r>
        <w:t>期间年均增长9.5%，城镇累计新增就业36万人，</w:t>
      </w:r>
      <w:r>
        <w:rPr>
          <w:rFonts w:hint="eastAsia"/>
        </w:rPr>
        <w:t>期末</w:t>
      </w:r>
      <w:r>
        <w:t>城镇登记失业率为2.34%。城乡低保标准增长</w:t>
      </w:r>
      <w:r>
        <w:rPr>
          <w:rFonts w:hint="eastAsia"/>
        </w:rPr>
        <w:t>49.8</w:t>
      </w:r>
      <w:r>
        <w:t>%。新增住院床位3773个，新增三甲医院4家，市中心人民医院入选广东省高水平医院建设</w:t>
      </w:r>
      <w:r>
        <w:rPr>
          <w:rFonts w:hint="eastAsia"/>
        </w:rPr>
        <w:t>“</w:t>
      </w:r>
      <w:r>
        <w:t>登峰计划</w:t>
      </w:r>
      <w:r>
        <w:rPr>
          <w:rFonts w:hint="eastAsia"/>
        </w:rPr>
        <w:t>”</w:t>
      </w:r>
      <w:r>
        <w:t>，全面提升重大疫情防控救治能力，健全完善三级医疗服务体系，紧密型县域医共体全部挂牌运作，实施药品集中采购。市民健康水平稳步提升，人均预期寿命达79.1岁。教育标准化、均等化水平不断提升，新增各级各类学校389所，在校学生增加25.48万人。完成农村危房改造2.69万户。第五次蝉联全国文明城市桂冠。连续多年获得粮食安全责任考核优秀名次。</w:t>
      </w:r>
    </w:p>
    <w:p>
      <w:pPr>
        <w:overflowPunct w:val="0"/>
        <w:spacing w:line="600" w:lineRule="exact"/>
        <w:ind w:firstLine="643"/>
      </w:pPr>
      <w:r>
        <w:rPr>
          <w:b/>
          <w:bCs/>
        </w:rPr>
        <w:t>社会治理效能持续提升。</w:t>
      </w:r>
      <w:r>
        <w:t>推动</w:t>
      </w:r>
      <w:r>
        <w:rPr>
          <w:rFonts w:hint="eastAsia"/>
        </w:rPr>
        <w:t>社会</w:t>
      </w:r>
      <w:r>
        <w:t>治理重心下移，</w:t>
      </w:r>
      <w:r>
        <w:rPr>
          <w:rFonts w:hint="eastAsia"/>
        </w:rPr>
        <w:t>提升基层治理能力和水平</w:t>
      </w:r>
      <w:r>
        <w:t>，积极构建党建引领、全域覆盖、</w:t>
      </w:r>
      <w:r>
        <w:rPr>
          <w:rFonts w:hint="eastAsia"/>
        </w:rPr>
        <w:t>“</w:t>
      </w:r>
      <w:r>
        <w:t>多网合一</w:t>
      </w:r>
      <w:r>
        <w:rPr>
          <w:rFonts w:hint="eastAsia"/>
        </w:rPr>
        <w:t>”</w:t>
      </w:r>
      <w:r>
        <w:t>的全科网格治理体系，市域治理现代化迈出坚实步伐。扫黑除恶专项斗争深入开展，持续深化全民禁毒工程，社会治安形势持续向好。安全生产形势总体稳定，综合应急保障能力全面加强，省级食品安全示范城市创建有序推进。荣膺2019年社会治理创新典型案例城市，夺取全国综治最高荣誉</w:t>
      </w:r>
      <w:r>
        <w:rPr>
          <w:rFonts w:hint="eastAsia"/>
        </w:rPr>
        <w:t>“</w:t>
      </w:r>
      <w:r>
        <w:t>长安杯</w:t>
      </w:r>
      <w:r>
        <w:rPr>
          <w:rFonts w:hint="eastAsia"/>
        </w:rPr>
        <w:t>”</w:t>
      </w:r>
      <w:r>
        <w:t>，第六次获评</w:t>
      </w:r>
      <w:r>
        <w:rPr>
          <w:rFonts w:hint="eastAsia"/>
        </w:rPr>
        <w:t>“</w:t>
      </w:r>
      <w:r>
        <w:t>全国双拥模范城</w:t>
      </w:r>
      <w:r>
        <w:rPr>
          <w:rFonts w:hint="eastAsia"/>
        </w:rPr>
        <w:t>”</w:t>
      </w:r>
      <w:r>
        <w:t>。</w:t>
      </w:r>
    </w:p>
    <w:p>
      <w:pPr>
        <w:spacing w:line="240" w:lineRule="auto"/>
        <w:ind w:firstLine="640"/>
      </w:pPr>
      <w:r>
        <w:br w:type="page"/>
      </w:r>
    </w:p>
    <w:p>
      <w:pPr>
        <w:pStyle w:val="26"/>
        <w:overflowPunct w:val="0"/>
        <w:spacing w:line="600" w:lineRule="exact"/>
      </w:pPr>
      <w:r>
        <w:t>表1 惠州市</w:t>
      </w:r>
      <w:r>
        <w:rPr>
          <w:rFonts w:hint="eastAsia"/>
        </w:rPr>
        <w:t>“</w:t>
      </w:r>
      <w:r>
        <w:t>十三五</w:t>
      </w:r>
      <w:r>
        <w:rPr>
          <w:rFonts w:hint="eastAsia"/>
        </w:rPr>
        <w:t>”</w:t>
      </w:r>
      <w:r>
        <w:t>规划纲要主要指标完成情况表</w:t>
      </w:r>
    </w:p>
    <w:tbl>
      <w:tblPr>
        <w:tblStyle w:val="17"/>
        <w:tblW w:w="96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2"/>
        <w:gridCol w:w="862"/>
        <w:gridCol w:w="2515"/>
        <w:gridCol w:w="900"/>
        <w:gridCol w:w="881"/>
        <w:gridCol w:w="1069"/>
        <w:gridCol w:w="881"/>
        <w:gridCol w:w="1069"/>
        <w:gridCol w:w="1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tblHeader/>
          <w:jc w:val="center"/>
        </w:trPr>
        <w:tc>
          <w:tcPr>
            <w:tcW w:w="502" w:type="dxa"/>
            <w:vMerge w:val="restart"/>
            <w:shd w:val="clear" w:color="auto" w:fill="D8D8D8" w:themeFill="background1" w:themeFillShade="D9"/>
            <w:tcMar>
              <w:top w:w="57" w:type="dxa"/>
              <w:left w:w="57" w:type="dxa"/>
              <w:bottom w:w="57" w:type="dxa"/>
              <w:right w:w="57" w:type="dxa"/>
            </w:tcMar>
            <w:vAlign w:val="center"/>
          </w:tcPr>
          <w:p>
            <w:pPr>
              <w:pStyle w:val="31"/>
              <w:overflowPunct w:val="0"/>
              <w:spacing w:line="240" w:lineRule="auto"/>
              <w:rPr>
                <w:rFonts w:eastAsia="黑体"/>
              </w:rPr>
            </w:pPr>
            <w:r>
              <w:rPr>
                <w:rFonts w:eastAsia="黑体"/>
              </w:rPr>
              <w:t>序号</w:t>
            </w:r>
          </w:p>
        </w:tc>
        <w:tc>
          <w:tcPr>
            <w:tcW w:w="3377" w:type="dxa"/>
            <w:gridSpan w:val="2"/>
            <w:vMerge w:val="restart"/>
            <w:shd w:val="clear" w:color="auto" w:fill="D8D8D8" w:themeFill="background1" w:themeFillShade="D9"/>
            <w:tcMar>
              <w:top w:w="57" w:type="dxa"/>
              <w:left w:w="57" w:type="dxa"/>
              <w:bottom w:w="57" w:type="dxa"/>
              <w:right w:w="57" w:type="dxa"/>
            </w:tcMar>
            <w:vAlign w:val="center"/>
          </w:tcPr>
          <w:p>
            <w:pPr>
              <w:pStyle w:val="31"/>
              <w:overflowPunct w:val="0"/>
              <w:spacing w:line="240" w:lineRule="auto"/>
              <w:rPr>
                <w:rFonts w:eastAsia="黑体"/>
              </w:rPr>
            </w:pPr>
            <w:r>
              <w:rPr>
                <w:rFonts w:eastAsia="黑体"/>
              </w:rPr>
              <w:t>指标</w:t>
            </w:r>
          </w:p>
        </w:tc>
        <w:tc>
          <w:tcPr>
            <w:tcW w:w="900" w:type="dxa"/>
            <w:vMerge w:val="restart"/>
            <w:shd w:val="clear" w:color="auto" w:fill="D8D8D8" w:themeFill="background1" w:themeFillShade="D9"/>
            <w:tcMar>
              <w:top w:w="57" w:type="dxa"/>
              <w:left w:w="57" w:type="dxa"/>
              <w:bottom w:w="57" w:type="dxa"/>
              <w:right w:w="57" w:type="dxa"/>
            </w:tcMar>
            <w:vAlign w:val="center"/>
          </w:tcPr>
          <w:p>
            <w:pPr>
              <w:pStyle w:val="31"/>
              <w:overflowPunct w:val="0"/>
              <w:spacing w:line="240" w:lineRule="auto"/>
              <w:rPr>
                <w:rFonts w:eastAsia="黑体"/>
              </w:rPr>
            </w:pPr>
            <w:r>
              <w:rPr>
                <w:rFonts w:eastAsia="黑体"/>
              </w:rPr>
              <w:t>2015年基期数</w:t>
            </w:r>
          </w:p>
        </w:tc>
        <w:tc>
          <w:tcPr>
            <w:tcW w:w="1950" w:type="dxa"/>
            <w:gridSpan w:val="2"/>
            <w:shd w:val="clear" w:color="auto" w:fill="D8D8D8" w:themeFill="background1" w:themeFillShade="D9"/>
            <w:tcMar>
              <w:top w:w="57" w:type="dxa"/>
              <w:left w:w="57" w:type="dxa"/>
              <w:bottom w:w="57" w:type="dxa"/>
              <w:right w:w="57" w:type="dxa"/>
            </w:tcMar>
            <w:vAlign w:val="center"/>
          </w:tcPr>
          <w:p>
            <w:pPr>
              <w:pStyle w:val="31"/>
              <w:overflowPunct w:val="0"/>
              <w:spacing w:line="240" w:lineRule="auto"/>
              <w:rPr>
                <w:rFonts w:ascii="黑体" w:hAnsi="黑体" w:eastAsia="黑体" w:cs="黑体"/>
              </w:rPr>
            </w:pPr>
            <w:r>
              <w:rPr>
                <w:rFonts w:hint="eastAsia" w:ascii="黑体" w:hAnsi="黑体" w:eastAsia="黑体" w:cs="黑体"/>
              </w:rPr>
              <w:t>“十三五”</w:t>
            </w:r>
          </w:p>
          <w:p>
            <w:pPr>
              <w:pStyle w:val="31"/>
              <w:overflowPunct w:val="0"/>
              <w:spacing w:line="240" w:lineRule="auto"/>
              <w:rPr>
                <w:rFonts w:ascii="黑体" w:hAnsi="黑体" w:eastAsia="黑体" w:cs="黑体"/>
              </w:rPr>
            </w:pPr>
            <w:r>
              <w:rPr>
                <w:rFonts w:hint="eastAsia" w:ascii="黑体" w:hAnsi="黑体" w:eastAsia="黑体" w:cs="黑体"/>
              </w:rPr>
              <w:t>规划目标值</w:t>
            </w:r>
          </w:p>
        </w:tc>
        <w:tc>
          <w:tcPr>
            <w:tcW w:w="1950" w:type="dxa"/>
            <w:gridSpan w:val="2"/>
            <w:shd w:val="clear" w:color="auto" w:fill="D8D8D8" w:themeFill="background1" w:themeFillShade="D9"/>
            <w:tcMar>
              <w:top w:w="57" w:type="dxa"/>
              <w:left w:w="57" w:type="dxa"/>
              <w:bottom w:w="57" w:type="dxa"/>
              <w:right w:w="57" w:type="dxa"/>
            </w:tcMar>
            <w:vAlign w:val="center"/>
          </w:tcPr>
          <w:p>
            <w:pPr>
              <w:pStyle w:val="31"/>
              <w:overflowPunct w:val="0"/>
              <w:spacing w:line="240" w:lineRule="auto"/>
              <w:rPr>
                <w:rFonts w:ascii="黑体" w:hAnsi="黑体" w:eastAsia="黑体" w:cs="黑体"/>
              </w:rPr>
            </w:pPr>
            <w:r>
              <w:rPr>
                <w:rFonts w:hint="eastAsia" w:ascii="黑体" w:hAnsi="黑体" w:eastAsia="黑体" w:cs="黑体"/>
              </w:rPr>
              <w:t>“十三五”</w:t>
            </w:r>
          </w:p>
          <w:p>
            <w:pPr>
              <w:pStyle w:val="31"/>
              <w:overflowPunct w:val="0"/>
              <w:spacing w:line="240" w:lineRule="auto"/>
              <w:rPr>
                <w:rFonts w:ascii="黑体" w:hAnsi="黑体" w:eastAsia="黑体" w:cs="黑体"/>
              </w:rPr>
            </w:pPr>
            <w:r>
              <w:rPr>
                <w:rFonts w:hint="eastAsia" w:ascii="黑体" w:hAnsi="黑体" w:eastAsia="黑体" w:cs="黑体"/>
              </w:rPr>
              <w:t>实际完成数</w:t>
            </w:r>
          </w:p>
        </w:tc>
        <w:tc>
          <w:tcPr>
            <w:tcW w:w="1020" w:type="dxa"/>
            <w:vMerge w:val="restart"/>
            <w:shd w:val="clear" w:color="auto" w:fill="D8D8D8" w:themeFill="background1" w:themeFillShade="D9"/>
            <w:tcMar>
              <w:top w:w="57" w:type="dxa"/>
              <w:left w:w="57" w:type="dxa"/>
              <w:bottom w:w="57" w:type="dxa"/>
              <w:right w:w="57" w:type="dxa"/>
            </w:tcMar>
            <w:vAlign w:val="center"/>
          </w:tcPr>
          <w:p>
            <w:pPr>
              <w:pStyle w:val="31"/>
              <w:overflowPunct w:val="0"/>
              <w:spacing w:line="240" w:lineRule="auto"/>
              <w:rPr>
                <w:rFonts w:eastAsia="黑体"/>
              </w:rPr>
            </w:pPr>
            <w:r>
              <w:rPr>
                <w:rFonts w:eastAsia="黑体"/>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38" w:hRule="atLeast"/>
          <w:tblHeader/>
          <w:jc w:val="center"/>
        </w:trPr>
        <w:tc>
          <w:tcPr>
            <w:tcW w:w="502" w:type="dxa"/>
            <w:vMerge w:val="continue"/>
            <w:shd w:val="clear" w:color="auto" w:fill="D8D8D8" w:themeFill="background1" w:themeFillShade="D9"/>
            <w:tcMar>
              <w:top w:w="57" w:type="dxa"/>
              <w:left w:w="57" w:type="dxa"/>
              <w:bottom w:w="57" w:type="dxa"/>
              <w:right w:w="57" w:type="dxa"/>
            </w:tcMar>
            <w:vAlign w:val="center"/>
          </w:tcPr>
          <w:p>
            <w:pPr>
              <w:pStyle w:val="31"/>
              <w:overflowPunct w:val="0"/>
              <w:spacing w:line="240" w:lineRule="auto"/>
            </w:pPr>
          </w:p>
        </w:tc>
        <w:tc>
          <w:tcPr>
            <w:tcW w:w="3377" w:type="dxa"/>
            <w:gridSpan w:val="2"/>
            <w:vMerge w:val="continue"/>
            <w:shd w:val="clear" w:color="auto" w:fill="D8D8D8" w:themeFill="background1" w:themeFillShade="D9"/>
            <w:tcMar>
              <w:top w:w="57" w:type="dxa"/>
              <w:left w:w="57" w:type="dxa"/>
              <w:bottom w:w="57" w:type="dxa"/>
              <w:right w:w="57" w:type="dxa"/>
            </w:tcMar>
            <w:vAlign w:val="center"/>
          </w:tcPr>
          <w:p>
            <w:pPr>
              <w:pStyle w:val="31"/>
              <w:overflowPunct w:val="0"/>
              <w:spacing w:line="240" w:lineRule="auto"/>
            </w:pPr>
          </w:p>
        </w:tc>
        <w:tc>
          <w:tcPr>
            <w:tcW w:w="900" w:type="dxa"/>
            <w:vMerge w:val="continue"/>
            <w:shd w:val="clear" w:color="auto" w:fill="D8D8D8" w:themeFill="background1" w:themeFillShade="D9"/>
            <w:tcMar>
              <w:top w:w="57" w:type="dxa"/>
              <w:left w:w="57" w:type="dxa"/>
              <w:bottom w:w="57" w:type="dxa"/>
              <w:right w:w="57" w:type="dxa"/>
            </w:tcMar>
            <w:vAlign w:val="center"/>
          </w:tcPr>
          <w:p>
            <w:pPr>
              <w:pStyle w:val="31"/>
              <w:overflowPunct w:val="0"/>
              <w:spacing w:line="240" w:lineRule="auto"/>
            </w:pPr>
          </w:p>
        </w:tc>
        <w:tc>
          <w:tcPr>
            <w:tcW w:w="881" w:type="dxa"/>
            <w:shd w:val="clear" w:color="auto" w:fill="D8D8D8" w:themeFill="background1" w:themeFillShade="D9"/>
            <w:tcMar>
              <w:top w:w="57" w:type="dxa"/>
              <w:left w:w="57" w:type="dxa"/>
              <w:bottom w:w="57" w:type="dxa"/>
              <w:right w:w="57" w:type="dxa"/>
            </w:tcMar>
            <w:vAlign w:val="center"/>
          </w:tcPr>
          <w:p>
            <w:pPr>
              <w:pStyle w:val="31"/>
              <w:overflowPunct w:val="0"/>
              <w:spacing w:line="240" w:lineRule="auto"/>
              <w:rPr>
                <w:rFonts w:eastAsia="黑体"/>
              </w:rPr>
            </w:pPr>
            <w:r>
              <w:rPr>
                <w:rFonts w:eastAsia="黑体"/>
              </w:rPr>
              <w:t>2020年</w:t>
            </w:r>
          </w:p>
        </w:tc>
        <w:tc>
          <w:tcPr>
            <w:tcW w:w="1069" w:type="dxa"/>
            <w:shd w:val="clear" w:color="auto" w:fill="D8D8D8" w:themeFill="background1" w:themeFillShade="D9"/>
            <w:tcMar>
              <w:top w:w="57" w:type="dxa"/>
              <w:left w:w="57" w:type="dxa"/>
              <w:bottom w:w="57" w:type="dxa"/>
              <w:right w:w="57" w:type="dxa"/>
            </w:tcMar>
            <w:vAlign w:val="center"/>
          </w:tcPr>
          <w:p>
            <w:pPr>
              <w:pStyle w:val="31"/>
              <w:overflowPunct w:val="0"/>
              <w:spacing w:line="240" w:lineRule="auto"/>
              <w:rPr>
                <w:rFonts w:eastAsia="黑体"/>
              </w:rPr>
            </w:pPr>
            <w:r>
              <w:rPr>
                <w:rFonts w:hint="eastAsia" w:eastAsia="黑体"/>
              </w:rPr>
              <w:t>五年</w:t>
            </w:r>
            <w:r>
              <w:rPr>
                <w:rFonts w:eastAsia="黑体"/>
              </w:rPr>
              <w:t>年均增长</w:t>
            </w:r>
          </w:p>
          <w:p>
            <w:pPr>
              <w:pStyle w:val="31"/>
              <w:overflowPunct w:val="0"/>
              <w:spacing w:line="240" w:lineRule="auto"/>
              <w:rPr>
                <w:rFonts w:eastAsia="黑体"/>
              </w:rPr>
            </w:pPr>
            <w:r>
              <w:rPr>
                <w:rFonts w:eastAsia="黑体"/>
              </w:rPr>
              <w:t>[累计]</w:t>
            </w:r>
          </w:p>
        </w:tc>
        <w:tc>
          <w:tcPr>
            <w:tcW w:w="881" w:type="dxa"/>
            <w:shd w:val="clear" w:color="auto" w:fill="D8D8D8" w:themeFill="background1" w:themeFillShade="D9"/>
            <w:tcMar>
              <w:top w:w="57" w:type="dxa"/>
              <w:left w:w="57" w:type="dxa"/>
              <w:bottom w:w="57" w:type="dxa"/>
              <w:right w:w="57" w:type="dxa"/>
            </w:tcMar>
            <w:vAlign w:val="center"/>
          </w:tcPr>
          <w:p>
            <w:pPr>
              <w:pStyle w:val="31"/>
              <w:overflowPunct w:val="0"/>
              <w:spacing w:line="240" w:lineRule="auto"/>
              <w:rPr>
                <w:rFonts w:eastAsia="黑体"/>
              </w:rPr>
            </w:pPr>
            <w:r>
              <w:rPr>
                <w:rFonts w:eastAsia="黑体"/>
              </w:rPr>
              <w:t>2020年</w:t>
            </w:r>
          </w:p>
        </w:tc>
        <w:tc>
          <w:tcPr>
            <w:tcW w:w="1069" w:type="dxa"/>
            <w:shd w:val="clear" w:color="auto" w:fill="D8D8D8" w:themeFill="background1" w:themeFillShade="D9"/>
            <w:tcMar>
              <w:top w:w="57" w:type="dxa"/>
              <w:left w:w="57" w:type="dxa"/>
              <w:bottom w:w="57" w:type="dxa"/>
              <w:right w:w="57" w:type="dxa"/>
            </w:tcMar>
            <w:vAlign w:val="center"/>
          </w:tcPr>
          <w:p>
            <w:pPr>
              <w:pStyle w:val="31"/>
              <w:overflowPunct w:val="0"/>
              <w:spacing w:line="240" w:lineRule="auto"/>
              <w:rPr>
                <w:rFonts w:eastAsia="黑体"/>
              </w:rPr>
            </w:pPr>
            <w:r>
              <w:rPr>
                <w:rFonts w:hint="eastAsia" w:eastAsia="黑体"/>
              </w:rPr>
              <w:t>五年</w:t>
            </w:r>
            <w:r>
              <w:rPr>
                <w:rFonts w:eastAsia="黑体"/>
              </w:rPr>
              <w:t>年均增长</w:t>
            </w:r>
          </w:p>
          <w:p>
            <w:pPr>
              <w:pStyle w:val="31"/>
              <w:overflowPunct w:val="0"/>
              <w:spacing w:line="240" w:lineRule="auto"/>
              <w:rPr>
                <w:rFonts w:eastAsia="黑体"/>
              </w:rPr>
            </w:pPr>
            <w:r>
              <w:rPr>
                <w:rFonts w:eastAsia="黑体"/>
              </w:rPr>
              <w:t>[累计]</w:t>
            </w:r>
          </w:p>
        </w:tc>
        <w:tc>
          <w:tcPr>
            <w:tcW w:w="1020" w:type="dxa"/>
            <w:vMerge w:val="continue"/>
            <w:shd w:val="clear" w:color="auto" w:fill="D8D8D8" w:themeFill="background1" w:themeFillShade="D9"/>
            <w:tcMar>
              <w:top w:w="57" w:type="dxa"/>
              <w:left w:w="57" w:type="dxa"/>
              <w:bottom w:w="57" w:type="dxa"/>
              <w:right w:w="57" w:type="dxa"/>
            </w:tcMar>
            <w:vAlign w:val="center"/>
          </w:tcPr>
          <w:p>
            <w:pPr>
              <w:pStyle w:val="31"/>
              <w:overflowPunct w:val="0"/>
              <w:spacing w:line="240" w:lineRule="auto"/>
              <w:rPr>
                <w:rFonts w:eastAsia="黑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99" w:type="dxa"/>
            <w:gridSpan w:val="9"/>
            <w:tcMar>
              <w:top w:w="57" w:type="dxa"/>
              <w:left w:w="57" w:type="dxa"/>
              <w:bottom w:w="57" w:type="dxa"/>
              <w:right w:w="57" w:type="dxa"/>
            </w:tcMar>
            <w:vAlign w:val="center"/>
          </w:tcPr>
          <w:p>
            <w:pPr>
              <w:pStyle w:val="31"/>
              <w:overflowPunct w:val="0"/>
              <w:spacing w:line="240" w:lineRule="auto"/>
              <w:jc w:val="left"/>
              <w:rPr>
                <w:rFonts w:eastAsia="宋体"/>
                <w:b/>
                <w:bCs/>
              </w:rPr>
            </w:pPr>
            <w:r>
              <w:rPr>
                <w:rFonts w:eastAsia="宋体"/>
                <w:b/>
                <w:bCs/>
              </w:rPr>
              <w:t>一、经济发展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hint="eastAsia" w:eastAsia="宋体"/>
              </w:rPr>
              <w:t>地区生产总值</w:t>
            </w:r>
            <w:r>
              <w:rPr>
                <w:rFonts w:eastAsia="宋体"/>
              </w:rPr>
              <w:t>（亿元）</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3090</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4700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w:t>
            </w:r>
            <w:r>
              <w:rPr>
                <w:rFonts w:eastAsia="黑体"/>
              </w:rPr>
              <w:t>%</w:t>
            </w:r>
            <w:r>
              <w:rPr>
                <w:rFonts w:eastAsia="宋体"/>
              </w:rPr>
              <w:t>左右</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4222</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5.5</w:t>
            </w:r>
            <w:r>
              <w:rPr>
                <w:rFonts w:eastAsia="黑体"/>
              </w:rPr>
              <w:t>%</w:t>
            </w:r>
          </w:p>
        </w:tc>
        <w:tc>
          <w:tcPr>
            <w:tcW w:w="1020" w:type="dxa"/>
            <w:tcMar>
              <w:top w:w="57" w:type="dxa"/>
              <w:left w:w="57" w:type="dxa"/>
              <w:bottom w:w="57" w:type="dxa"/>
              <w:right w:w="57" w:type="dxa"/>
            </w:tcMar>
            <w:vAlign w:val="center"/>
          </w:tcPr>
          <w:p>
            <w:pPr>
              <w:pStyle w:val="25"/>
              <w:overflowPunct w:val="0"/>
              <w:snapToGrid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人均</w:t>
            </w:r>
            <w:r>
              <w:rPr>
                <w:rFonts w:hint="eastAsia" w:eastAsia="宋体"/>
              </w:rPr>
              <w:t>地区生产总值</w:t>
            </w:r>
            <w:r>
              <w:rPr>
                <w:rFonts w:eastAsia="宋体"/>
              </w:rPr>
              <w:t>（元）</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65180</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95000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w:t>
            </w:r>
            <w:r>
              <w:rPr>
                <w:rFonts w:eastAsia="黑体"/>
              </w:rPr>
              <w:t>%</w:t>
            </w:r>
            <w:r>
              <w:rPr>
                <w:rFonts w:eastAsia="宋体"/>
              </w:rPr>
              <w:t>左右</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snapToGrid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全员劳动生产率（万元/人）</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11.1</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17</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hint="eastAsia" w:eastAsia="宋体"/>
              </w:rPr>
              <w:t>13.21</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snapToGrid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固定资产投资（亿元）</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1863.9</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[13800]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10</w:t>
            </w:r>
            <w:r>
              <w:rPr>
                <w:rFonts w:eastAsia="黑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[10640]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10.6</w:t>
            </w:r>
            <w:r>
              <w:rPr>
                <w:rFonts w:eastAsia="黑体"/>
              </w:rPr>
              <w:t>%</w:t>
            </w:r>
          </w:p>
        </w:tc>
        <w:tc>
          <w:tcPr>
            <w:tcW w:w="1020" w:type="dxa"/>
            <w:tcMar>
              <w:top w:w="57" w:type="dxa"/>
              <w:left w:w="57" w:type="dxa"/>
              <w:bottom w:w="57" w:type="dxa"/>
              <w:right w:w="57" w:type="dxa"/>
            </w:tcMar>
            <w:vAlign w:val="center"/>
          </w:tcPr>
          <w:p>
            <w:pPr>
              <w:pStyle w:val="25"/>
              <w:overflowPunct w:val="0"/>
              <w:snapToGrid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社会消费品零售总额（亿元）</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1258.1</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1800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10</w:t>
            </w:r>
            <w:r>
              <w:rPr>
                <w:rFonts w:eastAsia="黑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1746</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6.8</w:t>
            </w:r>
            <w:r>
              <w:rPr>
                <w:rFonts w:eastAsia="黑体"/>
              </w:rPr>
              <w:t>%</w:t>
            </w:r>
          </w:p>
        </w:tc>
        <w:tc>
          <w:tcPr>
            <w:tcW w:w="1020" w:type="dxa"/>
            <w:tcMar>
              <w:top w:w="57" w:type="dxa"/>
              <w:left w:w="57" w:type="dxa"/>
              <w:bottom w:w="57" w:type="dxa"/>
              <w:right w:w="57" w:type="dxa"/>
            </w:tcMar>
            <w:vAlign w:val="center"/>
          </w:tcPr>
          <w:p>
            <w:pPr>
              <w:pStyle w:val="25"/>
              <w:overflowPunct w:val="0"/>
              <w:snapToGrid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restart"/>
            <w:tcMar>
              <w:top w:w="57" w:type="dxa"/>
              <w:left w:w="57" w:type="dxa"/>
              <w:bottom w:w="57" w:type="dxa"/>
              <w:right w:w="57" w:type="dxa"/>
            </w:tcMar>
            <w:vAlign w:val="center"/>
          </w:tcPr>
          <w:p>
            <w:pPr>
              <w:pStyle w:val="31"/>
              <w:overflowPunct w:val="0"/>
              <w:spacing w:line="240" w:lineRule="auto"/>
              <w:rPr>
                <w:rFonts w:eastAsia="宋体"/>
              </w:rPr>
            </w:pPr>
            <w:r>
              <w:rPr>
                <w:rFonts w:eastAsia="宋体"/>
              </w:rPr>
              <w:t>6</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外贸进出口总额（亿元）</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3376.0</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3550.1</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w:t>
            </w:r>
            <w:r>
              <w:rPr>
                <w:rFonts w:eastAsia="黑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2489.1</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-5.9</w:t>
            </w:r>
            <w:r>
              <w:rPr>
                <w:rFonts w:eastAsia="黑体"/>
              </w:rPr>
              <w:t>%</w:t>
            </w:r>
          </w:p>
        </w:tc>
        <w:tc>
          <w:tcPr>
            <w:tcW w:w="1020" w:type="dxa"/>
            <w:tcMar>
              <w:top w:w="57" w:type="dxa"/>
              <w:left w:w="57" w:type="dxa"/>
              <w:bottom w:w="57" w:type="dxa"/>
              <w:right w:w="57" w:type="dxa"/>
            </w:tcMar>
            <w:vAlign w:val="center"/>
          </w:tcPr>
          <w:p>
            <w:pPr>
              <w:pStyle w:val="25"/>
              <w:overflowPunct w:val="0"/>
              <w:snapToGrid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 xml:space="preserve">    其中：进口总额（亿元）</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1215.1</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1276.8</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w:t>
            </w:r>
            <w:r>
              <w:rPr>
                <w:rFonts w:eastAsia="黑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801.0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-8.0</w:t>
            </w:r>
            <w:r>
              <w:rPr>
                <w:rFonts w:eastAsia="黑体"/>
              </w:rPr>
              <w:t>%</w:t>
            </w:r>
          </w:p>
        </w:tc>
        <w:tc>
          <w:tcPr>
            <w:tcW w:w="1020" w:type="dxa"/>
            <w:tcMar>
              <w:top w:w="57" w:type="dxa"/>
              <w:left w:w="57" w:type="dxa"/>
              <w:bottom w:w="57" w:type="dxa"/>
              <w:right w:w="57" w:type="dxa"/>
            </w:tcMar>
            <w:vAlign w:val="center"/>
          </w:tcPr>
          <w:p>
            <w:pPr>
              <w:pStyle w:val="25"/>
              <w:overflowPunct w:val="0"/>
              <w:snapToGrid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 xml:space="preserve">          出口总额（亿元）</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2160.9</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2273.3</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w:t>
            </w:r>
            <w:r>
              <w:rPr>
                <w:rFonts w:eastAsia="黑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1688.1</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-4.8</w:t>
            </w:r>
            <w:r>
              <w:rPr>
                <w:rFonts w:eastAsia="黑体"/>
              </w:rPr>
              <w:t>%</w:t>
            </w:r>
          </w:p>
        </w:tc>
        <w:tc>
          <w:tcPr>
            <w:tcW w:w="1020" w:type="dxa"/>
            <w:tcMar>
              <w:top w:w="57" w:type="dxa"/>
              <w:left w:w="57" w:type="dxa"/>
              <w:bottom w:w="57" w:type="dxa"/>
              <w:right w:w="57" w:type="dxa"/>
            </w:tcMar>
            <w:vAlign w:val="center"/>
          </w:tcPr>
          <w:p>
            <w:pPr>
              <w:pStyle w:val="25"/>
              <w:overflowPunct w:val="0"/>
              <w:snapToGrid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服务业增加值比重（%）</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40.2</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43</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2.8</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44.3</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4.1</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8</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现代服务业增加值占服务业增加值比重（%）</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47</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54</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7</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62.9</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15.9</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9</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先进制造业增加值占规模以上工业增加值比重（%）</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59.2</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63</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3.8</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64.2</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5</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10</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居民消费价格指数（%）</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101.9</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102.7</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2.3</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restart"/>
            <w:tcMar>
              <w:top w:w="57" w:type="dxa"/>
              <w:left w:w="57" w:type="dxa"/>
              <w:bottom w:w="57" w:type="dxa"/>
              <w:right w:w="57" w:type="dxa"/>
            </w:tcMar>
            <w:vAlign w:val="center"/>
          </w:tcPr>
          <w:p>
            <w:pPr>
              <w:pStyle w:val="31"/>
              <w:overflowPunct w:val="0"/>
              <w:spacing w:line="240" w:lineRule="auto"/>
              <w:rPr>
                <w:rFonts w:eastAsia="宋体"/>
              </w:rPr>
            </w:pPr>
            <w:r>
              <w:rPr>
                <w:rFonts w:eastAsia="宋体"/>
              </w:rPr>
              <w:t>11</w:t>
            </w:r>
          </w:p>
        </w:tc>
        <w:tc>
          <w:tcPr>
            <w:tcW w:w="862" w:type="dxa"/>
            <w:vMerge w:val="restart"/>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城镇化</w:t>
            </w:r>
          </w:p>
          <w:p>
            <w:pPr>
              <w:pStyle w:val="31"/>
              <w:overflowPunct w:val="0"/>
              <w:spacing w:line="240" w:lineRule="auto"/>
              <w:jc w:val="both"/>
              <w:rPr>
                <w:rFonts w:eastAsia="宋体"/>
              </w:rPr>
            </w:pPr>
            <w:r>
              <w:rPr>
                <w:rFonts w:eastAsia="宋体"/>
              </w:rPr>
              <w:t>率（%）</w:t>
            </w: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常住人口城镇化率</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68.15</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6.85</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72.8</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pacing w:val="-14"/>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户籍人口城镇化率</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59.6</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58</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-1.6</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56.12</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-3.48</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99" w:type="dxa"/>
            <w:gridSpan w:val="9"/>
            <w:tcMar>
              <w:top w:w="57" w:type="dxa"/>
              <w:left w:w="57" w:type="dxa"/>
              <w:bottom w:w="57" w:type="dxa"/>
              <w:right w:w="57" w:type="dxa"/>
            </w:tcMar>
            <w:vAlign w:val="center"/>
          </w:tcPr>
          <w:p>
            <w:pPr>
              <w:pStyle w:val="31"/>
              <w:overflowPunct w:val="0"/>
              <w:spacing w:line="240" w:lineRule="auto"/>
              <w:jc w:val="left"/>
              <w:rPr>
                <w:rFonts w:eastAsia="宋体"/>
                <w:b/>
                <w:bCs/>
              </w:rPr>
            </w:pPr>
            <w:r>
              <w:rPr>
                <w:rFonts w:eastAsia="宋体"/>
                <w:b/>
                <w:bCs/>
              </w:rPr>
              <w:t>二、创新驱动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12</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hint="eastAsia" w:eastAsia="宋体"/>
              </w:rPr>
              <w:t>研究与试验发展经费投入强度（%）</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w:t>
            </w:r>
            <w:r>
              <w:rPr>
                <w:rFonts w:hint="eastAsia" w:eastAsia="宋体"/>
              </w:rPr>
              <w:t>03</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4.25</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2.7</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5.87</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13</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科技进步贡献率（%）</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14</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技术自给率（%）</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15</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每万人</w:t>
            </w:r>
            <w:r>
              <w:rPr>
                <w:rFonts w:hint="eastAsia" w:eastAsia="宋体"/>
              </w:rPr>
              <w:t>口</w:t>
            </w:r>
            <w:r>
              <w:rPr>
                <w:rFonts w:eastAsia="宋体"/>
              </w:rPr>
              <w:t>发明专利拥有量（件）</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5.29</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9.71</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17.76</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12.47</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16</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高新技术企业个数（个）</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255</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1600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44.</w:t>
            </w:r>
            <w:r>
              <w:rPr>
                <w:rFonts w:hint="eastAsia" w:eastAsia="宋体"/>
              </w:rPr>
              <w:t>4</w:t>
            </w:r>
            <w:r>
              <w:rPr>
                <w:rFonts w:eastAsia="黑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16</w:t>
            </w:r>
            <w:r>
              <w:rPr>
                <w:rFonts w:hint="eastAsia" w:eastAsia="宋体"/>
              </w:rPr>
              <w:t>28</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44.9</w:t>
            </w:r>
            <w:r>
              <w:rPr>
                <w:rFonts w:eastAsia="黑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17</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高技术制造业增加值占规模以上工业增加值比重（%）</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43.6</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44</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0.4</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43.8</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0.2</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restart"/>
            <w:tcMar>
              <w:top w:w="57" w:type="dxa"/>
              <w:left w:w="57" w:type="dxa"/>
              <w:bottom w:w="57" w:type="dxa"/>
              <w:right w:w="57" w:type="dxa"/>
            </w:tcMar>
            <w:vAlign w:val="center"/>
          </w:tcPr>
          <w:p>
            <w:pPr>
              <w:pStyle w:val="31"/>
              <w:overflowPunct w:val="0"/>
              <w:spacing w:line="240" w:lineRule="auto"/>
              <w:rPr>
                <w:rFonts w:eastAsia="宋体"/>
              </w:rPr>
            </w:pPr>
            <w:r>
              <w:rPr>
                <w:rFonts w:eastAsia="宋体"/>
              </w:rPr>
              <w:t>18</w:t>
            </w:r>
          </w:p>
        </w:tc>
        <w:tc>
          <w:tcPr>
            <w:tcW w:w="862" w:type="dxa"/>
            <w:vMerge w:val="restart"/>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互联网</w:t>
            </w:r>
          </w:p>
          <w:p>
            <w:pPr>
              <w:pStyle w:val="31"/>
              <w:overflowPunct w:val="0"/>
              <w:spacing w:line="240" w:lineRule="auto"/>
              <w:jc w:val="both"/>
              <w:rPr>
                <w:rFonts w:eastAsia="宋体"/>
              </w:rPr>
            </w:pPr>
            <w:r>
              <w:rPr>
                <w:rFonts w:eastAsia="宋体"/>
              </w:rPr>
              <w:t>普及率</w:t>
            </w: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spacing w:val="-6"/>
                <w:w w:val="90"/>
              </w:rPr>
              <w:t>固定宽带家庭普及率（%）</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71.5</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150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78.5</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159.5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88</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pPr>
              <w:pStyle w:val="31"/>
              <w:overflowPunct w:val="0"/>
              <w:spacing w:line="240" w:lineRule="auto"/>
              <w:rPr>
                <w:rFonts w:eastAsia="宋体"/>
              </w:rPr>
            </w:pPr>
          </w:p>
        </w:tc>
        <w:tc>
          <w:tcPr>
            <w:tcW w:w="862" w:type="dxa"/>
            <w:vMerge w:val="continue"/>
            <w:tcMar>
              <w:top w:w="57" w:type="dxa"/>
              <w:left w:w="57" w:type="dxa"/>
              <w:bottom w:w="57" w:type="dxa"/>
              <w:right w:w="57" w:type="dxa"/>
            </w:tcMar>
            <w:vAlign w:val="center"/>
          </w:tcPr>
          <w:p>
            <w:pPr>
              <w:pStyle w:val="31"/>
              <w:overflowPunct w:val="0"/>
              <w:spacing w:line="240" w:lineRule="auto"/>
              <w:jc w:val="both"/>
              <w:rPr>
                <w:rFonts w:eastAsia="宋体"/>
              </w:rPr>
            </w:pP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spacing w:val="-6"/>
                <w:w w:val="90"/>
              </w:rPr>
            </w:pPr>
            <w:r>
              <w:rPr>
                <w:rFonts w:eastAsia="宋体"/>
                <w:spacing w:val="-6"/>
                <w:w w:val="90"/>
              </w:rPr>
              <w:t>移动宽带</w:t>
            </w:r>
            <w:r>
              <w:rPr>
                <w:rFonts w:hint="eastAsia" w:eastAsia="宋体"/>
                <w:spacing w:val="-6"/>
                <w:w w:val="90"/>
              </w:rPr>
              <w:t>用户</w:t>
            </w:r>
            <w:r>
              <w:rPr>
                <w:rFonts w:eastAsia="宋体"/>
                <w:spacing w:val="-6"/>
                <w:w w:val="90"/>
              </w:rPr>
              <w:t>普及率</w:t>
            </w:r>
            <w:r>
              <w:rPr>
                <w:rFonts w:eastAsia="宋体"/>
              </w:rPr>
              <w:t>（%）</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81.1</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150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68.9</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130.3</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49.2</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99" w:type="dxa"/>
            <w:gridSpan w:val="9"/>
            <w:tcMar>
              <w:top w:w="57" w:type="dxa"/>
              <w:left w:w="57" w:type="dxa"/>
              <w:bottom w:w="57" w:type="dxa"/>
              <w:right w:w="57" w:type="dxa"/>
            </w:tcMar>
            <w:vAlign w:val="center"/>
          </w:tcPr>
          <w:p>
            <w:pPr>
              <w:pStyle w:val="31"/>
              <w:overflowPunct w:val="0"/>
              <w:spacing w:line="240" w:lineRule="auto"/>
              <w:jc w:val="left"/>
              <w:rPr>
                <w:rFonts w:eastAsia="宋体"/>
                <w:b/>
                <w:bCs/>
              </w:rPr>
            </w:pPr>
            <w:r>
              <w:rPr>
                <w:rFonts w:eastAsia="宋体"/>
                <w:b/>
                <w:bCs/>
              </w:rPr>
              <w:t>三、社会民生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19</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常住人口（万人）</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475.55</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504</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hint="eastAsia" w:eastAsia="宋体"/>
              </w:rPr>
              <w:t>604.29</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20</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人均预期寿命（岁）</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78.05</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78.5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0.45</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79.1</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1.05</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21</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城镇新增就业人数（万人）</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[36]</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22</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spacing w:val="-14"/>
              </w:rPr>
            </w:pPr>
            <w:r>
              <w:rPr>
                <w:rFonts w:eastAsia="宋体"/>
                <w:spacing w:val="-14"/>
              </w:rPr>
              <w:t>劳动年龄人口平均受教育年限（年）</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11.8</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12.2</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23</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基本养老保险参保率（%）</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hint="eastAsia" w:eastAsia="宋体"/>
              </w:rPr>
              <w:t>89</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9</w:t>
            </w:r>
            <w:r>
              <w:rPr>
                <w:rFonts w:hint="eastAsia" w:eastAsia="宋体"/>
              </w:rPr>
              <w:t>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9</w:t>
            </w:r>
            <w:r>
              <w:rPr>
                <w:rFonts w:hint="eastAsia" w:eastAsia="宋体"/>
              </w:rPr>
              <w:t>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1</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24</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城镇棚户区住房改造（套）</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25</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居民人均可支配收入（元）</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25219.6</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40000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10</w:t>
            </w:r>
            <w:r>
              <w:rPr>
                <w:rFonts w:eastAsia="黑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39745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9.5</w:t>
            </w:r>
            <w:r>
              <w:rPr>
                <w:rFonts w:eastAsia="黑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26</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城乡居民收入比</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1.9:1</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1.85:1</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1.85:1</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27</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恩格尔系数（%）</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37</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36.5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-0.5</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36.1</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-0.9</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28</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农村相对贫困人口脱贫（万人）</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hint="eastAsia"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[4.12]</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hint="eastAsia"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[4.12]</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29</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亿元GDP生产安全事故死亡率（人/亿元）</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0.097</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0.075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0.04</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99" w:type="dxa"/>
            <w:gridSpan w:val="9"/>
            <w:tcMar>
              <w:top w:w="57" w:type="dxa"/>
              <w:left w:w="57" w:type="dxa"/>
              <w:bottom w:w="57" w:type="dxa"/>
              <w:right w:w="57" w:type="dxa"/>
            </w:tcMar>
            <w:vAlign w:val="center"/>
          </w:tcPr>
          <w:p>
            <w:pPr>
              <w:pStyle w:val="31"/>
              <w:overflowPunct w:val="0"/>
              <w:spacing w:line="240" w:lineRule="auto"/>
              <w:jc w:val="left"/>
              <w:rPr>
                <w:rFonts w:eastAsia="宋体"/>
                <w:b/>
                <w:bCs/>
              </w:rPr>
            </w:pPr>
            <w:r>
              <w:rPr>
                <w:rFonts w:eastAsia="宋体"/>
                <w:b/>
                <w:bCs/>
              </w:rPr>
              <w:t>四、生态文明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30</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耕地保有量（万亩）</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227</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183.33</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208.3</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autoSpaceDN w:val="0"/>
              <w:jc w:val="center"/>
              <w:rPr>
                <w:rFonts w:ascii="Times New Roman" w:hAnsi="Times New Roman" w:cs="Times New Roman"/>
                <w:sz w:val="18"/>
                <w:szCs w:val="18"/>
              </w:rPr>
            </w:pPr>
            <w:r>
              <w:rPr>
                <w:rFonts w:ascii="Times New Roman" w:hAnsi="Times New Roman" w:cs="Times New Roman"/>
                <w:sz w:val="15"/>
                <w:szCs w:val="15"/>
              </w:rPr>
              <w:t>2018年土地变更调查数据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31</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新增建设用地规模（万亩）</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4</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3.15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32</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万元GDP用水量下降（%）</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[33]</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28.5</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33</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非化石能源占</w:t>
            </w:r>
            <w:r>
              <w:rPr>
                <w:rFonts w:hint="eastAsia" w:eastAsia="宋体"/>
              </w:rPr>
              <w:t>一次</w:t>
            </w:r>
            <w:r>
              <w:rPr>
                <w:rFonts w:eastAsia="宋体"/>
              </w:rPr>
              <w:t>能源消费比重（%）</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8.7</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8.7</w:t>
            </w:r>
          </w:p>
          <w:p>
            <w:pPr>
              <w:pStyle w:val="31"/>
              <w:overflowPunct w:val="0"/>
              <w:spacing w:line="240" w:lineRule="auto"/>
              <w:rPr>
                <w:rFonts w:eastAsia="宋体"/>
              </w:rPr>
            </w:pPr>
            <w:r>
              <w:rPr>
                <w:rFonts w:eastAsia="宋体"/>
              </w:rPr>
              <w:t>左右</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14.3</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5.6</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34</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单位GDP能源消耗降低（%）</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7.1</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[-5]</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hint="eastAsia" w:eastAsia="宋体"/>
              </w:rPr>
              <w:t>2.51</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7.45</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r>
              <w:rPr>
                <w:rFonts w:hint="eastAsia" w:ascii="Times New Roman" w:hAnsi="Times New Roman" w:cs="Times New Roman"/>
                <w:sz w:val="15"/>
                <w:szCs w:val="15"/>
              </w:rPr>
              <w:t>单列惠州炼化二期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35</w:t>
            </w:r>
          </w:p>
        </w:tc>
        <w:tc>
          <w:tcPr>
            <w:tcW w:w="3377" w:type="dxa"/>
            <w:gridSpan w:val="2"/>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单位GDP二氧化碳排放降低（%）</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502" w:type="dxa"/>
            <w:vMerge w:val="restart"/>
            <w:tcMar>
              <w:top w:w="57" w:type="dxa"/>
              <w:left w:w="57" w:type="dxa"/>
              <w:bottom w:w="57" w:type="dxa"/>
              <w:right w:w="57" w:type="dxa"/>
            </w:tcMar>
            <w:vAlign w:val="center"/>
          </w:tcPr>
          <w:p>
            <w:pPr>
              <w:pStyle w:val="31"/>
              <w:overflowPunct w:val="0"/>
              <w:spacing w:line="240" w:lineRule="auto"/>
              <w:rPr>
                <w:rFonts w:eastAsia="宋体"/>
              </w:rPr>
            </w:pPr>
            <w:r>
              <w:rPr>
                <w:rFonts w:eastAsia="宋体"/>
              </w:rPr>
              <w:t>36</w:t>
            </w:r>
          </w:p>
        </w:tc>
        <w:tc>
          <w:tcPr>
            <w:tcW w:w="862" w:type="dxa"/>
            <w:vMerge w:val="restart"/>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空气</w:t>
            </w:r>
          </w:p>
          <w:p>
            <w:pPr>
              <w:pStyle w:val="31"/>
              <w:overflowPunct w:val="0"/>
              <w:spacing w:line="240" w:lineRule="auto"/>
              <w:jc w:val="both"/>
              <w:rPr>
                <w:rFonts w:eastAsia="宋体"/>
              </w:rPr>
            </w:pPr>
            <w:r>
              <w:rPr>
                <w:rFonts w:eastAsia="宋体"/>
              </w:rPr>
              <w:t>质量</w:t>
            </w: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优良天数比例（%）</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97.5</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95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-2.5</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95.1</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-2.4</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r>
              <w:rPr>
                <w:rFonts w:ascii="Times New Roman" w:hAnsi="Times New Roman" w:cs="Times New Roman"/>
                <w:sz w:val="24"/>
                <w:szCs w:val="24"/>
              </w:rPr>
              <w:t>标况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91" w:hRule="atLeast"/>
          <w:jc w:val="center"/>
        </w:trPr>
        <w:tc>
          <w:tcPr>
            <w:tcW w:w="50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spacing w:val="-14"/>
              </w:rPr>
            </w:pPr>
            <w:r>
              <w:rPr>
                <w:rFonts w:eastAsia="宋体"/>
                <w:spacing w:val="-14"/>
              </w:rPr>
              <w:t>PM2.5浓度（微克/立方米）</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27</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29</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020" w:type="dxa"/>
            <w:tcMar>
              <w:top w:w="57" w:type="dxa"/>
              <w:left w:w="57" w:type="dxa"/>
              <w:bottom w:w="57" w:type="dxa"/>
              <w:right w:w="57" w:type="dxa"/>
            </w:tcMar>
            <w:vAlign w:val="center"/>
          </w:tcPr>
          <w:p>
            <w:pPr>
              <w:overflowPunct w:val="0"/>
              <w:spacing w:line="240" w:lineRule="auto"/>
              <w:ind w:firstLine="0" w:firstLineChars="0"/>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4" w:hRule="atLeast"/>
          <w:jc w:val="center"/>
        </w:trPr>
        <w:tc>
          <w:tcPr>
            <w:tcW w:w="502" w:type="dxa"/>
            <w:vMerge w:val="restart"/>
            <w:tcMar>
              <w:top w:w="57" w:type="dxa"/>
              <w:left w:w="57" w:type="dxa"/>
              <w:bottom w:w="57" w:type="dxa"/>
              <w:right w:w="57" w:type="dxa"/>
            </w:tcMar>
            <w:vAlign w:val="center"/>
          </w:tcPr>
          <w:p>
            <w:pPr>
              <w:pStyle w:val="31"/>
              <w:overflowPunct w:val="0"/>
              <w:spacing w:line="240" w:lineRule="auto"/>
              <w:rPr>
                <w:rFonts w:eastAsia="宋体"/>
              </w:rPr>
            </w:pPr>
            <w:r>
              <w:rPr>
                <w:rFonts w:eastAsia="宋体"/>
              </w:rPr>
              <w:t>37</w:t>
            </w:r>
          </w:p>
        </w:tc>
        <w:tc>
          <w:tcPr>
            <w:tcW w:w="862" w:type="dxa"/>
            <w:vMerge w:val="restart"/>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地表水质量</w:t>
            </w: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spacing w:val="-6"/>
                <w:w w:val="90"/>
              </w:rPr>
            </w:pPr>
            <w:r>
              <w:rPr>
                <w:rFonts w:hint="eastAsia" w:ascii="宋体" w:hAnsi="宋体" w:eastAsia="宋体" w:cs="宋体"/>
                <w:spacing w:val="-6"/>
                <w:w w:val="90"/>
              </w:rPr>
              <w:t>达到或好于Ⅲ类水比例</w:t>
            </w:r>
            <w:r>
              <w:rPr>
                <w:rFonts w:ascii="宋体" w:hAnsi="宋体" w:eastAsia="宋体" w:cs="宋体"/>
                <w:spacing w:val="-6"/>
                <w:w w:val="90"/>
              </w:rPr>
              <w:t>（%）</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77.8</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77.8</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0</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88.9</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11.1</w:t>
            </w:r>
            <w:r>
              <w:rPr>
                <w:rFonts w:eastAsia="宋体"/>
              </w:rPr>
              <w:t>]</w:t>
            </w:r>
          </w:p>
        </w:tc>
        <w:tc>
          <w:tcPr>
            <w:tcW w:w="1020" w:type="dxa"/>
            <w:vMerge w:val="restart"/>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2" w:hRule="atLeast"/>
          <w:jc w:val="center"/>
        </w:trPr>
        <w:tc>
          <w:tcPr>
            <w:tcW w:w="50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劣</w:t>
            </w:r>
            <w:r>
              <w:rPr>
                <w:rFonts w:hint="eastAsia" w:ascii="宋体" w:hAnsi="宋体" w:eastAsia="宋体" w:cs="宋体"/>
              </w:rPr>
              <w:t>Ⅴ</w:t>
            </w:r>
            <w:r>
              <w:rPr>
                <w:rFonts w:eastAsia="宋体"/>
              </w:rPr>
              <w:t>类水</w:t>
            </w:r>
            <w:r>
              <w:rPr>
                <w:rFonts w:hint="eastAsia" w:eastAsia="宋体"/>
              </w:rPr>
              <w:t>体</w:t>
            </w:r>
            <w:r>
              <w:rPr>
                <w:rFonts w:eastAsia="宋体"/>
              </w:rPr>
              <w:t>比例（%）</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22.2</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-22.2</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-22.2</w:t>
            </w:r>
            <w:r>
              <w:rPr>
                <w:rFonts w:eastAsia="宋体"/>
              </w:rPr>
              <w:t>]</w:t>
            </w:r>
          </w:p>
        </w:tc>
        <w:tc>
          <w:tcPr>
            <w:tcW w:w="1020"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restart"/>
            <w:tcMar>
              <w:top w:w="57" w:type="dxa"/>
              <w:left w:w="57" w:type="dxa"/>
              <w:bottom w:w="57" w:type="dxa"/>
              <w:right w:w="57" w:type="dxa"/>
            </w:tcMar>
            <w:vAlign w:val="center"/>
          </w:tcPr>
          <w:p>
            <w:pPr>
              <w:pStyle w:val="31"/>
              <w:overflowPunct w:val="0"/>
              <w:spacing w:line="240" w:lineRule="auto"/>
              <w:rPr>
                <w:rFonts w:eastAsia="宋体"/>
              </w:rPr>
            </w:pPr>
            <w:r>
              <w:rPr>
                <w:rFonts w:eastAsia="宋体"/>
              </w:rPr>
              <w:t>38</w:t>
            </w:r>
          </w:p>
        </w:tc>
        <w:tc>
          <w:tcPr>
            <w:tcW w:w="862" w:type="dxa"/>
            <w:vMerge w:val="restart"/>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主要污染物排放</w:t>
            </w:r>
            <w:r>
              <w:rPr>
                <w:rFonts w:hint="eastAsia" w:eastAsia="宋体"/>
              </w:rPr>
              <w:t>总量</w:t>
            </w:r>
            <w:r>
              <w:rPr>
                <w:rFonts w:eastAsia="宋体"/>
              </w:rPr>
              <w:t>减少</w:t>
            </w: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二氧化硫（%）</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1.2</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[-0.4]</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950" w:type="dxa"/>
            <w:gridSpan w:val="2"/>
            <w:vMerge w:val="restart"/>
            <w:tcMar>
              <w:top w:w="57" w:type="dxa"/>
              <w:left w:w="57" w:type="dxa"/>
              <w:bottom w:w="57" w:type="dxa"/>
              <w:right w:w="57" w:type="dxa"/>
            </w:tcMar>
            <w:vAlign w:val="center"/>
          </w:tcPr>
          <w:p>
            <w:pPr>
              <w:pStyle w:val="31"/>
              <w:overflowPunct w:val="0"/>
              <w:spacing w:line="240" w:lineRule="auto"/>
              <w:rPr>
                <w:rFonts w:eastAsia="宋体"/>
              </w:rPr>
            </w:pPr>
            <w:r>
              <w:rPr>
                <w:rFonts w:eastAsia="宋体"/>
              </w:rPr>
              <w:t>完成省下达的年度目标任务</w:t>
            </w:r>
          </w:p>
        </w:tc>
        <w:tc>
          <w:tcPr>
            <w:tcW w:w="1020" w:type="dxa"/>
            <w:vMerge w:val="restart"/>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化学需氧量（%）</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0.5</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[15]</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950" w:type="dxa"/>
            <w:gridSpan w:val="2"/>
            <w:vMerge w:val="continue"/>
            <w:tcMar>
              <w:top w:w="57" w:type="dxa"/>
              <w:left w:w="57" w:type="dxa"/>
              <w:bottom w:w="57" w:type="dxa"/>
              <w:right w:w="57" w:type="dxa"/>
            </w:tcMar>
            <w:vAlign w:val="center"/>
          </w:tcPr>
          <w:p>
            <w:pPr>
              <w:pStyle w:val="31"/>
              <w:overflowPunct w:val="0"/>
              <w:spacing w:line="240" w:lineRule="auto"/>
              <w:rPr>
                <w:rFonts w:eastAsia="宋体"/>
              </w:rPr>
            </w:pPr>
          </w:p>
        </w:tc>
        <w:tc>
          <w:tcPr>
            <w:tcW w:w="1020"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氮氧化物（%）</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[3]</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950" w:type="dxa"/>
            <w:gridSpan w:val="2"/>
            <w:vMerge w:val="continue"/>
            <w:tcMar>
              <w:top w:w="57" w:type="dxa"/>
              <w:left w:w="57" w:type="dxa"/>
              <w:bottom w:w="57" w:type="dxa"/>
              <w:right w:w="57" w:type="dxa"/>
            </w:tcMar>
            <w:vAlign w:val="center"/>
          </w:tcPr>
          <w:p>
            <w:pPr>
              <w:pStyle w:val="31"/>
              <w:overflowPunct w:val="0"/>
              <w:spacing w:line="240" w:lineRule="auto"/>
              <w:rPr>
                <w:rFonts w:eastAsia="宋体"/>
              </w:rPr>
            </w:pPr>
          </w:p>
        </w:tc>
        <w:tc>
          <w:tcPr>
            <w:tcW w:w="1020"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氨氮（%）</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0.8</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[17]</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p>
        </w:tc>
        <w:tc>
          <w:tcPr>
            <w:tcW w:w="1950" w:type="dxa"/>
            <w:gridSpan w:val="2"/>
            <w:vMerge w:val="continue"/>
            <w:tcMar>
              <w:top w:w="57" w:type="dxa"/>
              <w:left w:w="57" w:type="dxa"/>
              <w:bottom w:w="57" w:type="dxa"/>
              <w:right w:w="57" w:type="dxa"/>
            </w:tcMar>
            <w:vAlign w:val="center"/>
          </w:tcPr>
          <w:p>
            <w:pPr>
              <w:pStyle w:val="31"/>
              <w:overflowPunct w:val="0"/>
              <w:spacing w:line="240" w:lineRule="auto"/>
              <w:rPr>
                <w:rFonts w:eastAsia="宋体"/>
              </w:rPr>
            </w:pPr>
          </w:p>
        </w:tc>
        <w:tc>
          <w:tcPr>
            <w:tcW w:w="1020"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restart"/>
            <w:tcMar>
              <w:top w:w="57" w:type="dxa"/>
              <w:left w:w="57" w:type="dxa"/>
              <w:bottom w:w="57" w:type="dxa"/>
              <w:right w:w="57" w:type="dxa"/>
            </w:tcMar>
            <w:vAlign w:val="center"/>
          </w:tcPr>
          <w:p>
            <w:pPr>
              <w:pStyle w:val="31"/>
              <w:overflowPunct w:val="0"/>
              <w:spacing w:line="240" w:lineRule="auto"/>
              <w:rPr>
                <w:rFonts w:eastAsia="宋体"/>
              </w:rPr>
            </w:pPr>
            <w:r>
              <w:rPr>
                <w:rFonts w:eastAsia="宋体"/>
              </w:rPr>
              <w:t>39</w:t>
            </w:r>
          </w:p>
        </w:tc>
        <w:tc>
          <w:tcPr>
            <w:tcW w:w="862" w:type="dxa"/>
            <w:vMerge w:val="restart"/>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森林</w:t>
            </w:r>
          </w:p>
          <w:p>
            <w:pPr>
              <w:pStyle w:val="31"/>
              <w:overflowPunct w:val="0"/>
              <w:spacing w:line="240" w:lineRule="auto"/>
              <w:jc w:val="both"/>
              <w:rPr>
                <w:rFonts w:eastAsia="宋体"/>
              </w:rPr>
            </w:pPr>
            <w:r>
              <w:rPr>
                <w:rFonts w:hint="eastAsia" w:eastAsia="宋体"/>
              </w:rPr>
              <w:t>发展</w:t>
            </w: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森林覆盖率（%）</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62.34</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62.7</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0.36</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61.61</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-0.73</w:t>
            </w:r>
            <w:r>
              <w:rPr>
                <w:rFonts w:eastAsia="宋体"/>
              </w:rPr>
              <w:t>]</w:t>
            </w:r>
          </w:p>
        </w:tc>
        <w:tc>
          <w:tcPr>
            <w:tcW w:w="1020" w:type="dxa"/>
            <w:tcMar>
              <w:top w:w="57" w:type="dxa"/>
              <w:left w:w="57" w:type="dxa"/>
              <w:bottom w:w="57" w:type="dxa"/>
              <w:right w:w="57" w:type="dxa"/>
            </w:tcMar>
            <w:vAlign w:val="center"/>
          </w:tcPr>
          <w:p>
            <w:pPr>
              <w:pStyle w:val="25"/>
              <w:overflowPunct w:val="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50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862" w:type="dxa"/>
            <w:vMerge w:val="continue"/>
            <w:tcMar>
              <w:top w:w="57" w:type="dxa"/>
              <w:left w:w="57" w:type="dxa"/>
              <w:bottom w:w="57" w:type="dxa"/>
              <w:right w:w="57" w:type="dxa"/>
            </w:tcMar>
            <w:vAlign w:val="center"/>
          </w:tcPr>
          <w:p>
            <w:pPr>
              <w:overflowPunct w:val="0"/>
              <w:spacing w:line="240" w:lineRule="auto"/>
              <w:ind w:firstLine="0" w:firstLineChars="0"/>
              <w:rPr>
                <w:rFonts w:eastAsia="宋体"/>
                <w:sz w:val="24"/>
              </w:rPr>
            </w:pPr>
          </w:p>
        </w:tc>
        <w:tc>
          <w:tcPr>
            <w:tcW w:w="2515" w:type="dxa"/>
            <w:tcMar>
              <w:top w:w="57" w:type="dxa"/>
              <w:left w:w="57" w:type="dxa"/>
              <w:bottom w:w="57" w:type="dxa"/>
              <w:right w:w="57" w:type="dxa"/>
            </w:tcMar>
            <w:vAlign w:val="center"/>
          </w:tcPr>
          <w:p>
            <w:pPr>
              <w:pStyle w:val="31"/>
              <w:overflowPunct w:val="0"/>
              <w:spacing w:line="240" w:lineRule="auto"/>
              <w:jc w:val="both"/>
              <w:rPr>
                <w:rFonts w:eastAsia="宋体"/>
              </w:rPr>
            </w:pPr>
            <w:r>
              <w:rPr>
                <w:rFonts w:eastAsia="宋体"/>
              </w:rPr>
              <w:t>森林蓄积量</w:t>
            </w:r>
          </w:p>
          <w:p>
            <w:pPr>
              <w:pStyle w:val="31"/>
              <w:overflowPunct w:val="0"/>
              <w:spacing w:line="240" w:lineRule="auto"/>
              <w:jc w:val="both"/>
              <w:rPr>
                <w:rFonts w:eastAsia="宋体"/>
              </w:rPr>
            </w:pPr>
            <w:r>
              <w:rPr>
                <w:rFonts w:eastAsia="宋体"/>
              </w:rPr>
              <w:t>（亿立方米）</w:t>
            </w:r>
          </w:p>
        </w:tc>
        <w:tc>
          <w:tcPr>
            <w:tcW w:w="900"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0.35</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0.37</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0.02</w:t>
            </w:r>
            <w:r>
              <w:rPr>
                <w:rFonts w:eastAsia="宋体"/>
              </w:rPr>
              <w:t>]</w:t>
            </w:r>
          </w:p>
        </w:tc>
        <w:tc>
          <w:tcPr>
            <w:tcW w:w="881"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0.40</w:t>
            </w:r>
          </w:p>
        </w:tc>
        <w:tc>
          <w:tcPr>
            <w:tcW w:w="1069" w:type="dxa"/>
            <w:tcMar>
              <w:top w:w="57" w:type="dxa"/>
              <w:left w:w="57" w:type="dxa"/>
              <w:bottom w:w="57" w:type="dxa"/>
              <w:right w:w="57" w:type="dxa"/>
            </w:tcMar>
            <w:vAlign w:val="center"/>
          </w:tcPr>
          <w:p>
            <w:pPr>
              <w:pStyle w:val="31"/>
              <w:overflowPunct w:val="0"/>
              <w:spacing w:line="240" w:lineRule="auto"/>
              <w:rPr>
                <w:rFonts w:eastAsia="宋体"/>
              </w:rPr>
            </w:pPr>
            <w:r>
              <w:rPr>
                <w:rFonts w:eastAsia="宋体"/>
              </w:rPr>
              <w:t>[</w:t>
            </w:r>
            <w:r>
              <w:rPr>
                <w:rFonts w:hint="eastAsia" w:eastAsia="宋体"/>
              </w:rPr>
              <w:t>0.05</w:t>
            </w:r>
            <w:r>
              <w:rPr>
                <w:rFonts w:eastAsia="宋体"/>
              </w:rPr>
              <w:t>]</w:t>
            </w:r>
          </w:p>
        </w:tc>
        <w:tc>
          <w:tcPr>
            <w:tcW w:w="1020" w:type="dxa"/>
            <w:tcMar>
              <w:top w:w="57" w:type="dxa"/>
              <w:left w:w="57" w:type="dxa"/>
              <w:bottom w:w="57" w:type="dxa"/>
              <w:right w:w="57" w:type="dxa"/>
            </w:tcMar>
            <w:vAlign w:val="center"/>
          </w:tcPr>
          <w:p>
            <w:pPr>
              <w:overflowPunct w:val="0"/>
              <w:spacing w:line="240" w:lineRule="auto"/>
              <w:ind w:firstLine="0" w:firstLineChars="0"/>
              <w:rPr>
                <w:rFonts w:eastAsia="宋体"/>
                <w:sz w:val="24"/>
              </w:rPr>
            </w:pPr>
          </w:p>
        </w:tc>
      </w:tr>
    </w:tbl>
    <w:p>
      <w:pPr>
        <w:pStyle w:val="31"/>
        <w:overflowPunct w:val="0"/>
        <w:spacing w:line="400" w:lineRule="exact"/>
        <w:jc w:val="left"/>
        <w:rPr>
          <w:rFonts w:eastAsia="仿宋_GB2312"/>
          <w:sz w:val="21"/>
          <w:szCs w:val="21"/>
        </w:rPr>
      </w:pPr>
      <w:r>
        <w:rPr>
          <w:rFonts w:hint="eastAsia" w:eastAsia="仿宋_GB2312"/>
          <w:sz w:val="21"/>
          <w:szCs w:val="21"/>
        </w:rPr>
        <w:t>注：1．</w:t>
      </w:r>
      <w:r>
        <w:rPr>
          <w:rFonts w:hint="eastAsia" w:ascii="宋体" w:hAnsi="宋体" w:eastAsia="宋体" w:cs="宋体"/>
          <w:sz w:val="21"/>
          <w:szCs w:val="21"/>
        </w:rPr>
        <w:t>[ ]</w:t>
      </w:r>
      <w:r>
        <w:rPr>
          <w:rFonts w:hint="eastAsia" w:eastAsia="仿宋_GB2312"/>
          <w:sz w:val="21"/>
          <w:szCs w:val="21"/>
        </w:rPr>
        <w:t>内为累计数。</w:t>
      </w:r>
    </w:p>
    <w:p>
      <w:pPr>
        <w:pStyle w:val="31"/>
        <w:overflowPunct w:val="0"/>
        <w:spacing w:line="400" w:lineRule="exact"/>
        <w:ind w:firstLine="420" w:firstLineChars="200"/>
        <w:jc w:val="left"/>
        <w:rPr>
          <w:rFonts w:eastAsia="仿宋_GB2312"/>
          <w:sz w:val="21"/>
          <w:szCs w:val="21"/>
        </w:rPr>
      </w:pPr>
      <w:r>
        <w:rPr>
          <w:rFonts w:hint="eastAsia" w:eastAsia="仿宋_GB2312"/>
          <w:sz w:val="21"/>
          <w:szCs w:val="21"/>
        </w:rPr>
        <w:t>2．地区生产总值、全员劳动生产率、居民人均可支配收入增长为实际增长。</w:t>
      </w:r>
    </w:p>
    <w:p>
      <w:pPr>
        <w:pStyle w:val="31"/>
        <w:overflowPunct w:val="0"/>
        <w:spacing w:line="400" w:lineRule="exact"/>
        <w:ind w:firstLine="420" w:firstLineChars="200"/>
        <w:jc w:val="left"/>
        <w:rPr>
          <w:rFonts w:eastAsia="仿宋_GB2312"/>
          <w:sz w:val="21"/>
          <w:szCs w:val="21"/>
        </w:rPr>
      </w:pPr>
      <w:r>
        <w:rPr>
          <w:rFonts w:hint="eastAsia" w:eastAsia="仿宋_GB2312"/>
          <w:sz w:val="21"/>
          <w:szCs w:val="21"/>
        </w:rPr>
        <w:t>3．常住人口城镇化率、常住人口等指标数据为第七次人口普查数据，普查标准时点为2020年11月1日零时。2015年基期数涉及常住人口的数据尚未根据第七次人口普查数据调整，与2020年数据不可比。</w:t>
      </w:r>
    </w:p>
    <w:p>
      <w:pPr>
        <w:pStyle w:val="31"/>
        <w:overflowPunct w:val="0"/>
        <w:spacing w:line="400" w:lineRule="exact"/>
        <w:ind w:firstLine="420" w:firstLineChars="200"/>
        <w:jc w:val="left"/>
        <w:rPr>
          <w:rFonts w:eastAsia="仿宋_GB2312"/>
          <w:sz w:val="21"/>
          <w:szCs w:val="21"/>
        </w:rPr>
      </w:pPr>
      <w:r>
        <w:rPr>
          <w:rFonts w:hint="eastAsia" w:eastAsia="仿宋_GB2312"/>
          <w:sz w:val="21"/>
          <w:szCs w:val="21"/>
        </w:rPr>
        <w:t>4．因统计口径和计算方法调整，基本养老保险参保率指标的2015年基期数、2020年目标值及增长目标均进行了调整，2020年完成情况为调整口径后的统计数据。</w:t>
      </w:r>
    </w:p>
    <w:p>
      <w:pPr>
        <w:pStyle w:val="31"/>
        <w:overflowPunct w:val="0"/>
        <w:spacing w:line="400" w:lineRule="exact"/>
        <w:ind w:firstLine="420" w:firstLineChars="200"/>
        <w:jc w:val="left"/>
        <w:rPr>
          <w:rFonts w:eastAsia="仿宋_GB2312"/>
          <w:sz w:val="21"/>
          <w:szCs w:val="21"/>
        </w:rPr>
      </w:pPr>
      <w:r>
        <w:rPr>
          <w:rFonts w:hint="eastAsia" w:eastAsia="仿宋_GB2312"/>
          <w:sz w:val="21"/>
          <w:szCs w:val="21"/>
        </w:rPr>
        <w:t>5．耕地保有量、新增建设用地规模、单位GDP二氧化碳排放降低、空气质量、地表水质量、主要污染物排放总量减少等6项指标按省最终核定目标值执行。</w:t>
      </w:r>
    </w:p>
    <w:p>
      <w:pPr>
        <w:pStyle w:val="31"/>
        <w:overflowPunct w:val="0"/>
        <w:spacing w:line="400" w:lineRule="exact"/>
        <w:ind w:firstLine="420" w:firstLineChars="200"/>
        <w:jc w:val="left"/>
        <w:rPr>
          <w:rFonts w:eastAsia="仿宋_GB2312"/>
          <w:sz w:val="21"/>
          <w:szCs w:val="21"/>
        </w:rPr>
      </w:pPr>
      <w:r>
        <w:rPr>
          <w:rFonts w:hint="eastAsia" w:eastAsia="仿宋_GB2312"/>
          <w:sz w:val="21"/>
          <w:szCs w:val="21"/>
        </w:rPr>
        <w:t>6．农村相对贫困人口脱贫以农村居民人均可支配收入4000元为标准。</w:t>
      </w:r>
    </w:p>
    <w:p>
      <w:pPr>
        <w:pStyle w:val="31"/>
        <w:overflowPunct w:val="0"/>
        <w:spacing w:line="400" w:lineRule="exact"/>
        <w:ind w:firstLine="420" w:firstLineChars="200"/>
        <w:jc w:val="left"/>
        <w:rPr>
          <w:rFonts w:eastAsia="仿宋_GB2312"/>
          <w:sz w:val="21"/>
          <w:szCs w:val="21"/>
        </w:rPr>
      </w:pPr>
    </w:p>
    <w:p>
      <w:pPr>
        <w:pStyle w:val="5"/>
        <w:overflowPunct w:val="0"/>
        <w:spacing w:line="600" w:lineRule="exact"/>
      </w:pPr>
      <w:bookmarkStart w:id="12" w:name="_Toc24793"/>
      <w:bookmarkStart w:id="13" w:name="_Toc5963"/>
      <w:bookmarkStart w:id="14" w:name="_Toc422"/>
      <w:bookmarkStart w:id="15" w:name="_Toc12751"/>
      <w:r>
        <w:rPr>
          <w:rFonts w:hint="eastAsia" w:ascii="黑体" w:hAnsi="黑体" w:cs="黑体"/>
        </w:rPr>
        <w:t>第二节  “十四五”发展环境</w:t>
      </w:r>
      <w:bookmarkEnd w:id="12"/>
      <w:bookmarkEnd w:id="13"/>
      <w:bookmarkEnd w:id="14"/>
      <w:bookmarkEnd w:id="15"/>
    </w:p>
    <w:p>
      <w:pPr>
        <w:overflowPunct w:val="0"/>
        <w:spacing w:line="600" w:lineRule="exact"/>
        <w:ind w:firstLine="656"/>
        <w:rPr>
          <w:spacing w:val="4"/>
        </w:rPr>
      </w:pPr>
      <w:r>
        <w:rPr>
          <w:spacing w:val="4"/>
        </w:rPr>
        <w:t>当今世界正经历百年未有之大变局，新一轮科技革命和产业变革深入发展，国际力量对比深刻调整，国际环境日趋复杂，不稳定性不确定性明显增加。我国已转向高质量发展阶段，继续发展具有多方面的优势和条件，但发展不平衡不充分问题仍然突出。总的来看，是危和机并存、危中有机、危可转机。全市上下要深刻认识国际国内环境新变化，清醒认识自身发展优势和风险挑战，抢抓机遇，乘势而上，推动大发展，实现大突破。</w:t>
      </w:r>
    </w:p>
    <w:p>
      <w:pPr>
        <w:pStyle w:val="6"/>
        <w:overflowPunct w:val="0"/>
        <w:spacing w:line="600" w:lineRule="exact"/>
        <w:ind w:firstLine="640"/>
        <w:rPr>
          <w:rFonts w:ascii="仿宋_GB2312" w:hAnsi="仿宋_GB2312" w:eastAsia="仿宋_GB2312" w:cs="仿宋_GB2312"/>
        </w:rPr>
      </w:pPr>
      <w:r>
        <w:rPr>
          <w:rFonts w:hint="eastAsia" w:ascii="楷体_GB2312" w:hAnsi="楷体_GB2312" w:eastAsia="楷体_GB2312" w:cs="楷体_GB2312"/>
        </w:rPr>
        <w:t>一、发展优势</w:t>
      </w:r>
    </w:p>
    <w:p>
      <w:pPr>
        <w:overflowPunct w:val="0"/>
        <w:spacing w:line="600" w:lineRule="exact"/>
        <w:ind w:firstLine="658"/>
        <w:rPr>
          <w:spacing w:val="4"/>
        </w:rPr>
      </w:pPr>
      <w:r>
        <w:rPr>
          <w:b/>
          <w:bCs/>
          <w:spacing w:val="4"/>
        </w:rPr>
        <w:t>区位优越，交通便捷。</w:t>
      </w:r>
      <w:r>
        <w:rPr>
          <w:spacing w:val="4"/>
        </w:rPr>
        <w:t>惠州前承国际市场前沿，后接内陆广阔腹地，是粤港澳大湾区联接粤东、粤北以及闽赣地区的枢纽门户，也是承接广深港澳等发达地区资源要素辐射外溢的主阵地。惠州机场、惠州港服务能力不断提升，赣深高铁、广汕高铁即将建成运营，高速公路网持续升级加密，</w:t>
      </w:r>
      <w:r>
        <w:rPr>
          <w:rFonts w:hint="eastAsia"/>
          <w:spacing w:val="4"/>
        </w:rPr>
        <w:t>“</w:t>
      </w:r>
      <w:r>
        <w:rPr>
          <w:spacing w:val="4"/>
        </w:rPr>
        <w:t>丰</w:t>
      </w:r>
      <w:r>
        <w:rPr>
          <w:rFonts w:hint="eastAsia"/>
          <w:spacing w:val="4"/>
        </w:rPr>
        <w:t>”</w:t>
      </w:r>
      <w:r>
        <w:rPr>
          <w:spacing w:val="4"/>
        </w:rPr>
        <w:t>字道路交通主框架启动建设，是为数不多具备</w:t>
      </w:r>
      <w:r>
        <w:rPr>
          <w:rFonts w:hint="eastAsia"/>
          <w:spacing w:val="4"/>
        </w:rPr>
        <w:t>“</w:t>
      </w:r>
      <w:r>
        <w:rPr>
          <w:spacing w:val="4"/>
        </w:rPr>
        <w:t>海陆空铁</w:t>
      </w:r>
      <w:r>
        <w:rPr>
          <w:rFonts w:hint="eastAsia"/>
          <w:spacing w:val="4"/>
        </w:rPr>
        <w:t>”</w:t>
      </w:r>
      <w:r>
        <w:rPr>
          <w:spacing w:val="4"/>
        </w:rPr>
        <w:t>综合交通体系的城市。</w:t>
      </w:r>
    </w:p>
    <w:p>
      <w:pPr>
        <w:overflowPunct w:val="0"/>
        <w:spacing w:line="600" w:lineRule="exact"/>
        <w:ind w:firstLine="643"/>
      </w:pPr>
      <w:r>
        <w:rPr>
          <w:b/>
          <w:bCs/>
        </w:rPr>
        <w:t>空间广阔，环境优越。</w:t>
      </w:r>
      <w:r>
        <w:t>全市陆地面积1.13万平方公里，约占粤港澳大湾区总面积的1/5，开发强度仅为10%左右，可开发的空间巨大，能为高端产业和创新要素落地提供广阔土地资源。海域面积4520平方公里，海岸线长281.4公里，有利于培育壮大海洋经济。生态环境良好，东江干流惠州段水质优良，空气质量优良率稳居全国重点监测城市前列，具备发展生态、生活、生命</w:t>
      </w:r>
      <w:r>
        <w:rPr>
          <w:rFonts w:hint="eastAsia"/>
        </w:rPr>
        <w:t>“</w:t>
      </w:r>
      <w:r>
        <w:t>三生</w:t>
      </w:r>
      <w:r>
        <w:rPr>
          <w:rFonts w:hint="eastAsia"/>
        </w:rPr>
        <w:t>”</w:t>
      </w:r>
      <w:r>
        <w:t>产业的资源禀赋。</w:t>
      </w:r>
    </w:p>
    <w:p>
      <w:pPr>
        <w:overflowPunct w:val="0"/>
        <w:spacing w:line="600" w:lineRule="exact"/>
        <w:ind w:firstLine="643"/>
      </w:pPr>
      <w:r>
        <w:rPr>
          <w:b/>
          <w:bCs/>
        </w:rPr>
        <w:t>产业集聚，前景良好。</w:t>
      </w:r>
      <w:r>
        <w:t>集中资源打造</w:t>
      </w:r>
      <w:r>
        <w:rPr>
          <w:rFonts w:hint="eastAsia"/>
        </w:rPr>
        <w:t>“</w:t>
      </w:r>
      <w:r>
        <w:t>3+7</w:t>
      </w:r>
      <w:r>
        <w:rPr>
          <w:rFonts w:hint="eastAsia"/>
        </w:rPr>
        <w:t>”工业</w:t>
      </w:r>
      <w:r>
        <w:t>园区，高标准谋划</w:t>
      </w:r>
      <w:r>
        <w:rPr>
          <w:rFonts w:hint="eastAsia"/>
        </w:rPr>
        <w:t>推动</w:t>
      </w:r>
      <w:r>
        <w:t>稔平半岛能源科技岛、惠州1号公路经济走廊、金山新城、惠州湾产业新城等重大平台建设，推动新增用地指标、新落地工业项目向重大工业园区、重大平台集聚，为产业发展搭建平台、创造空间。打破零敲碎打、承接低端产业转移的传统模式，推动石化能源新材料、电子信息和生命健康产业集群化、规模化、一体化发展</w:t>
      </w:r>
      <w:r>
        <w:rPr>
          <w:rFonts w:hint="eastAsia"/>
        </w:rPr>
        <w:t>，“</w:t>
      </w:r>
      <w:r>
        <w:t>2+1</w:t>
      </w:r>
      <w:r>
        <w:rPr>
          <w:rFonts w:hint="eastAsia"/>
        </w:rPr>
        <w:t>”</w:t>
      </w:r>
      <w:r>
        <w:t>产业</w:t>
      </w:r>
      <w:r>
        <w:rPr>
          <w:rFonts w:hint="eastAsia"/>
        </w:rPr>
        <w:t>呈现</w:t>
      </w:r>
      <w:r>
        <w:t>良好态势。</w:t>
      </w:r>
    </w:p>
    <w:p>
      <w:pPr>
        <w:overflowPunct w:val="0"/>
        <w:spacing w:line="600" w:lineRule="exact"/>
        <w:ind w:firstLine="643"/>
      </w:pPr>
      <w:r>
        <w:rPr>
          <w:b/>
          <w:bCs/>
        </w:rPr>
        <w:t>内外并举，开放包容。</w:t>
      </w:r>
      <w:r>
        <w:t>始终坚持开放包容的精神，注重内外并举，加快融入</w:t>
      </w:r>
      <w:r>
        <w:rPr>
          <w:rFonts w:hint="eastAsia"/>
        </w:rPr>
        <w:t>“</w:t>
      </w:r>
      <w:r>
        <w:t>双循环</w:t>
      </w:r>
      <w:r>
        <w:rPr>
          <w:rFonts w:hint="eastAsia"/>
        </w:rPr>
        <w:t>”</w:t>
      </w:r>
      <w:r>
        <w:t>新发展格局。中韩（惠州）产业园获国务院批复成立，是全国三大中韩产业园之一，成为全市开放创新的重要阵地。跻身全国跨境电商综合试验区行列，国际经贸往来和交流更加活跃。扎实推进粤港澳大湾区建设和支持深圳先行示范区建设，主动参与构建广东省</w:t>
      </w:r>
      <w:r>
        <w:rPr>
          <w:rFonts w:hint="eastAsia"/>
        </w:rPr>
        <w:t>“</w:t>
      </w:r>
      <w:r>
        <w:t>一核一带一区</w:t>
      </w:r>
      <w:r>
        <w:rPr>
          <w:rFonts w:hint="eastAsia"/>
        </w:rPr>
        <w:t>”</w:t>
      </w:r>
      <w:r>
        <w:rPr>
          <w:rStyle w:val="21"/>
        </w:rPr>
        <w:footnoteReference w:id="1"/>
      </w:r>
      <w:r>
        <w:t>区域发展格局，积极推动深莞惠发展联动，加速与周边城市融合协同发展。</w:t>
      </w:r>
    </w:p>
    <w:p>
      <w:pPr>
        <w:pStyle w:val="6"/>
        <w:overflowPunct w:val="0"/>
        <w:spacing w:line="600" w:lineRule="exact"/>
        <w:ind w:firstLine="640"/>
        <w:rPr>
          <w:rFonts w:ascii="楷体_GB2312" w:hAnsi="楷体_GB2312" w:eastAsia="楷体_GB2312" w:cs="楷体_GB2312"/>
        </w:rPr>
      </w:pPr>
      <w:r>
        <w:rPr>
          <w:rFonts w:hint="eastAsia" w:ascii="楷体_GB2312" w:hAnsi="楷体_GB2312" w:eastAsia="楷体_GB2312" w:cs="楷体_GB2312"/>
        </w:rPr>
        <w:t>二、风险挑战</w:t>
      </w:r>
    </w:p>
    <w:p>
      <w:pPr>
        <w:overflowPunct w:val="0"/>
        <w:spacing w:line="600" w:lineRule="exact"/>
        <w:ind w:firstLine="643"/>
      </w:pPr>
      <w:r>
        <w:rPr>
          <w:b/>
          <w:bCs/>
        </w:rPr>
        <w:t>跨越式发展压力较大。</w:t>
      </w:r>
      <w:r>
        <w:t>惠州经济外向度较高，产业链供应链自主可控能力不强，产业整体水平不高、结构较单一、创新能力偏弱。参与国内大循环的产业规模不大、竞争力不强，部分传统产业进入平台期可能性加大，新产业新业态规模较小，加快转型升级、形成发展新动能的</w:t>
      </w:r>
      <w:r>
        <w:rPr>
          <w:rFonts w:hint="eastAsia"/>
        </w:rPr>
        <w:t>需</w:t>
      </w:r>
      <w:r>
        <w:t>求更加迫切。区域竞争更趋激烈，惠州与周边城市</w:t>
      </w:r>
      <w:r>
        <w:rPr>
          <w:rFonts w:hint="eastAsia"/>
        </w:rPr>
        <w:t>尚未</w:t>
      </w:r>
      <w:r>
        <w:t>完全形成优势互补、合作共赢的区域经济布局。</w:t>
      </w:r>
    </w:p>
    <w:p>
      <w:pPr>
        <w:overflowPunct w:val="0"/>
        <w:spacing w:line="600" w:lineRule="exact"/>
        <w:ind w:firstLine="643"/>
      </w:pPr>
      <w:r>
        <w:rPr>
          <w:b/>
          <w:bCs/>
        </w:rPr>
        <w:t>营商环境有待提升。</w:t>
      </w:r>
      <w:r>
        <w:t>体制机制障碍仍待破解，</w:t>
      </w:r>
      <w:r>
        <w:rPr>
          <w:rFonts w:hint="eastAsia"/>
        </w:rPr>
        <w:t>“</w:t>
      </w:r>
      <w:r>
        <w:t>放管服</w:t>
      </w:r>
      <w:r>
        <w:rPr>
          <w:rFonts w:hint="eastAsia"/>
        </w:rPr>
        <w:t>”</w:t>
      </w:r>
      <w:r>
        <w:t>改革的系统性协同性仍需加强，政策实施、科学执法以及部门协调推进等成效仍有待提高，未能满足企业高效便捷办事需求。惠企利企政策与周边发达地区相比还存在较大差距。一些干部服务意识、改革意识、效率意识、担当精神、专业能力不能适应新形势发展需要。</w:t>
      </w:r>
    </w:p>
    <w:p>
      <w:pPr>
        <w:overflowPunct w:val="0"/>
        <w:spacing w:line="600" w:lineRule="exact"/>
        <w:ind w:firstLine="643"/>
      </w:pPr>
      <w:r>
        <w:rPr>
          <w:b/>
          <w:bCs/>
        </w:rPr>
        <w:t>短板弱项依然突出。</w:t>
      </w:r>
      <w:r>
        <w:t>城市安全韧性有待加强，应对传染病、地震、暴雨、火灾等突发性灾害的体制机制有待完善。资源环境约束日趋强化，石化能源新材料等领域的安全生产、环境保护、节能减排等风险压力增大。公共服务水平有待提升，教育、医疗、养老、托育等重点领域与群众期盼差距较大。基层社会治理还存在薄弱环节，社会矛盾化解机制、诉调机制不够有力。</w:t>
      </w:r>
    </w:p>
    <w:p>
      <w:pPr>
        <w:overflowPunct w:val="0"/>
        <w:spacing w:line="600" w:lineRule="exact"/>
        <w:ind w:firstLine="640"/>
      </w:pPr>
      <w:r>
        <w:t>综合判断，尽管外部环境和自身条件发生了明显变化，不确定性显著提升，但我市高质量跨越式发展的基础依然坚实，发展韧性好、潜力足、</w:t>
      </w:r>
      <w:r>
        <w:rPr>
          <w:rFonts w:hint="eastAsia"/>
        </w:rPr>
        <w:t>回旋</w:t>
      </w:r>
      <w:r>
        <w:t>空间大的基本特质没有变。进入新发展阶段，面向新发展格局，要深刻认识新形势带来的新机遇新挑战，深入理解把握高质量跨越式发展的新战略新要求，增强机遇意识和风险意识，立足惠州发展优势、发展阶段，提高战略谋划能力，保持战略定力，把特色优势发挥到极致，集中力量办好自己的事。要牢固树立底线思维，准确识变、科学应变、主动求变，努力在危机中育先机、于变局中开新局，推动更加幸福的国内一流城市建设迈出更加坚实的步伐。</w:t>
      </w:r>
    </w:p>
    <w:p>
      <w:pPr>
        <w:overflowPunct w:val="0"/>
        <w:spacing w:line="600" w:lineRule="exact"/>
        <w:ind w:firstLine="640"/>
        <w:jc w:val="center"/>
      </w:pPr>
      <w:r>
        <w:br w:type="page"/>
      </w:r>
    </w:p>
    <w:p>
      <w:pPr>
        <w:pStyle w:val="4"/>
        <w:overflowPunct w:val="0"/>
        <w:rPr>
          <w:rFonts w:ascii="方正小标宋_GBK" w:eastAsia="方正小标宋_GBK"/>
          <w:sz w:val="36"/>
          <w:szCs w:val="36"/>
        </w:rPr>
      </w:pPr>
      <w:bookmarkStart w:id="16" w:name="_Toc4557"/>
      <w:bookmarkStart w:id="17" w:name="_Toc4919"/>
      <w:bookmarkStart w:id="18" w:name="_Toc18408"/>
      <w:bookmarkStart w:id="19" w:name="_Toc15891"/>
      <w:r>
        <w:rPr>
          <w:rFonts w:hint="eastAsia" w:ascii="方正小标宋_GBK" w:eastAsia="方正小标宋_GBK"/>
          <w:sz w:val="36"/>
          <w:szCs w:val="36"/>
        </w:rPr>
        <w:t>第二章  总体要求</w:t>
      </w:r>
      <w:bookmarkEnd w:id="16"/>
      <w:bookmarkEnd w:id="17"/>
      <w:bookmarkEnd w:id="18"/>
      <w:bookmarkEnd w:id="19"/>
    </w:p>
    <w:p>
      <w:pPr>
        <w:overflowPunct w:val="0"/>
        <w:spacing w:line="600" w:lineRule="exact"/>
        <w:ind w:firstLine="640"/>
      </w:pPr>
    </w:p>
    <w:p>
      <w:pPr>
        <w:pStyle w:val="5"/>
        <w:overflowPunct w:val="0"/>
        <w:spacing w:line="600" w:lineRule="exact"/>
      </w:pPr>
      <w:bookmarkStart w:id="20" w:name="_Toc17415"/>
      <w:bookmarkStart w:id="21" w:name="_Toc32501"/>
      <w:bookmarkStart w:id="22" w:name="_Toc1400"/>
      <w:bookmarkStart w:id="23" w:name="_Toc1644"/>
      <w:r>
        <w:t>第一节  指导思想</w:t>
      </w:r>
      <w:bookmarkEnd w:id="20"/>
      <w:bookmarkEnd w:id="21"/>
      <w:bookmarkEnd w:id="22"/>
      <w:bookmarkEnd w:id="23"/>
    </w:p>
    <w:p>
      <w:pPr>
        <w:overflowPunct w:val="0"/>
        <w:spacing w:line="600" w:lineRule="exact"/>
        <w:ind w:firstLine="656"/>
        <w:rPr>
          <w:spacing w:val="4"/>
        </w:rPr>
      </w:pPr>
      <w:r>
        <w:rPr>
          <w:spacing w:val="4"/>
        </w:rPr>
        <w:t>高举中国特色社会主义伟大旗帜，深入贯彻党的十九大和十九届二中、三中、四中、五中全会精神，坚持以马克思列宁主义、毛泽东思想、邓小平理论、</w:t>
      </w:r>
      <w:r>
        <w:rPr>
          <w:rFonts w:hint="eastAsia"/>
          <w:spacing w:val="4"/>
        </w:rPr>
        <w:t>“</w:t>
      </w:r>
      <w:r>
        <w:rPr>
          <w:spacing w:val="4"/>
        </w:rPr>
        <w:t>三个代表</w:t>
      </w:r>
      <w:r>
        <w:rPr>
          <w:rFonts w:hint="eastAsia"/>
          <w:spacing w:val="4"/>
        </w:rPr>
        <w:t>”</w:t>
      </w:r>
      <w:r>
        <w:rPr>
          <w:spacing w:val="4"/>
        </w:rPr>
        <w:t>重要思想、科学发展观、习近平新时代中国特色社会主义思想为指导，全面贯</w:t>
      </w:r>
      <w:r>
        <w:rPr>
          <w:spacing w:val="-2"/>
        </w:rPr>
        <w:t>彻党的基本理论、基本路线、基本方略，</w:t>
      </w:r>
      <w:r>
        <w:rPr>
          <w:rFonts w:hint="eastAsia"/>
          <w:spacing w:val="-2"/>
        </w:rPr>
        <w:t>深入贯彻习近平总书记对广东系列重要讲话和重要指示批示精神，</w:t>
      </w:r>
      <w:r>
        <w:rPr>
          <w:spacing w:val="-2"/>
        </w:rPr>
        <w:t>统筹推进</w:t>
      </w:r>
      <w:r>
        <w:rPr>
          <w:rFonts w:hint="eastAsia"/>
          <w:spacing w:val="-2"/>
        </w:rPr>
        <w:t>“</w:t>
      </w:r>
      <w:r>
        <w:rPr>
          <w:spacing w:val="-2"/>
        </w:rPr>
        <w:t>五位一体</w:t>
      </w:r>
      <w:r>
        <w:rPr>
          <w:rFonts w:hint="eastAsia"/>
          <w:spacing w:val="-2"/>
        </w:rPr>
        <w:t>”</w:t>
      </w:r>
      <w:r>
        <w:rPr>
          <w:rStyle w:val="21"/>
          <w:spacing w:val="-2"/>
        </w:rPr>
        <w:footnoteReference w:id="2"/>
      </w:r>
      <w:r>
        <w:rPr>
          <w:spacing w:val="4"/>
        </w:rPr>
        <w:t>总体布局，协调推进</w:t>
      </w:r>
      <w:r>
        <w:rPr>
          <w:rFonts w:hint="eastAsia"/>
          <w:spacing w:val="4"/>
        </w:rPr>
        <w:t>“</w:t>
      </w:r>
      <w:r>
        <w:rPr>
          <w:spacing w:val="4"/>
        </w:rPr>
        <w:t>四个全面</w:t>
      </w:r>
      <w:r>
        <w:rPr>
          <w:rFonts w:hint="eastAsia"/>
          <w:spacing w:val="4"/>
        </w:rPr>
        <w:t>”</w:t>
      </w:r>
      <w:r>
        <w:rPr>
          <w:rStyle w:val="21"/>
          <w:rFonts w:hint="eastAsia"/>
          <w:spacing w:val="4"/>
        </w:rPr>
        <w:footnoteReference w:id="3"/>
      </w:r>
      <w:r>
        <w:rPr>
          <w:spacing w:val="4"/>
        </w:rPr>
        <w:t>战略布局，抢抓</w:t>
      </w:r>
      <w:r>
        <w:rPr>
          <w:rFonts w:hint="eastAsia"/>
          <w:spacing w:val="4"/>
        </w:rPr>
        <w:t>“</w:t>
      </w:r>
      <w:r>
        <w:rPr>
          <w:spacing w:val="4"/>
        </w:rPr>
        <w:t>双区</w:t>
      </w:r>
      <w:r>
        <w:rPr>
          <w:rFonts w:hint="eastAsia"/>
          <w:spacing w:val="4"/>
        </w:rPr>
        <w:t>”</w:t>
      </w:r>
      <w:r>
        <w:rPr>
          <w:rStyle w:val="21"/>
          <w:spacing w:val="4"/>
        </w:rPr>
        <w:footnoteReference w:id="4"/>
      </w:r>
      <w:r>
        <w:rPr>
          <w:spacing w:val="4"/>
        </w:rPr>
        <w:t>建设战略机遇，立足新发展阶段、贯彻新发展理念、构建新发展格局，以推动高质量发展为主题，以深化供给侧结构性改革为主线，以改革创新为</w:t>
      </w:r>
      <w:r>
        <w:rPr>
          <w:rFonts w:hint="eastAsia"/>
          <w:spacing w:val="4"/>
        </w:rPr>
        <w:t>根本</w:t>
      </w:r>
      <w:r>
        <w:rPr>
          <w:spacing w:val="4"/>
        </w:rPr>
        <w:t>动力，以满足</w:t>
      </w:r>
      <w:r>
        <w:rPr>
          <w:rFonts w:hint="eastAsia"/>
          <w:spacing w:val="4"/>
        </w:rPr>
        <w:t>全市</w:t>
      </w:r>
      <w:r>
        <w:rPr>
          <w:spacing w:val="4"/>
        </w:rPr>
        <w:t>人民日益增长的美好生活需要为根本目的，全面落实省委、省政府</w:t>
      </w:r>
      <w:r>
        <w:rPr>
          <w:rFonts w:hint="eastAsia"/>
          <w:spacing w:val="4"/>
        </w:rPr>
        <w:t>“</w:t>
      </w:r>
      <w:r>
        <w:rPr>
          <w:spacing w:val="4"/>
        </w:rPr>
        <w:t>1+1+9</w:t>
      </w:r>
      <w:r>
        <w:rPr>
          <w:rFonts w:hint="eastAsia"/>
          <w:spacing w:val="4"/>
        </w:rPr>
        <w:t>”</w:t>
      </w:r>
      <w:r>
        <w:rPr>
          <w:rStyle w:val="21"/>
          <w:spacing w:val="4"/>
        </w:rPr>
        <w:footnoteReference w:id="5"/>
      </w:r>
      <w:r>
        <w:rPr>
          <w:spacing w:val="4"/>
        </w:rPr>
        <w:t>工作部署，坚持把</w:t>
      </w:r>
      <w:r>
        <w:rPr>
          <w:rFonts w:hint="eastAsia"/>
          <w:spacing w:val="4"/>
        </w:rPr>
        <w:t>经济</w:t>
      </w:r>
      <w:r>
        <w:rPr>
          <w:spacing w:val="4"/>
        </w:rPr>
        <w:t>发展着力点放在实体经济上，着力打造珠江东岸新增长极</w:t>
      </w:r>
      <w:r>
        <w:rPr>
          <w:rFonts w:hint="eastAsia"/>
          <w:spacing w:val="4"/>
        </w:rPr>
        <w:t>，</w:t>
      </w:r>
      <w:r>
        <w:rPr>
          <w:spacing w:val="4"/>
        </w:rPr>
        <w:t>实现经济社会高质量跨越式发展，建设更加幸福国内一流城市。</w:t>
      </w:r>
    </w:p>
    <w:p>
      <w:pPr>
        <w:overflowPunct w:val="0"/>
        <w:spacing w:line="600" w:lineRule="exact"/>
        <w:ind w:firstLine="640"/>
      </w:pPr>
    </w:p>
    <w:p>
      <w:pPr>
        <w:pStyle w:val="5"/>
        <w:overflowPunct w:val="0"/>
        <w:spacing w:line="600" w:lineRule="exact"/>
      </w:pPr>
      <w:bookmarkStart w:id="24" w:name="_Toc8252"/>
      <w:bookmarkStart w:id="25" w:name="_Toc30533"/>
      <w:bookmarkStart w:id="26" w:name="_Toc27788"/>
      <w:bookmarkStart w:id="27" w:name="_Toc28023"/>
      <w:r>
        <w:t>第二节  基本原则</w:t>
      </w:r>
      <w:bookmarkEnd w:id="24"/>
      <w:bookmarkEnd w:id="25"/>
      <w:bookmarkEnd w:id="26"/>
      <w:bookmarkEnd w:id="27"/>
    </w:p>
    <w:p>
      <w:pPr>
        <w:overflowPunct w:val="0"/>
        <w:spacing w:line="600" w:lineRule="exact"/>
        <w:ind w:firstLine="627"/>
      </w:pPr>
      <w:r>
        <w:rPr>
          <w:b/>
          <w:bCs/>
          <w:spacing w:val="-4"/>
        </w:rPr>
        <w:t>坚持党的全面领导。</w:t>
      </w:r>
      <w:r>
        <w:rPr>
          <w:spacing w:val="-4"/>
        </w:rPr>
        <w:t>增强</w:t>
      </w:r>
      <w:r>
        <w:rPr>
          <w:rFonts w:hint="eastAsia"/>
          <w:spacing w:val="-4"/>
        </w:rPr>
        <w:t>“</w:t>
      </w:r>
      <w:r>
        <w:rPr>
          <w:spacing w:val="-4"/>
        </w:rPr>
        <w:t>四个意识</w:t>
      </w:r>
      <w:r>
        <w:rPr>
          <w:rFonts w:hint="eastAsia"/>
          <w:spacing w:val="-4"/>
        </w:rPr>
        <w:t>”</w:t>
      </w:r>
      <w:r>
        <w:rPr>
          <w:rStyle w:val="21"/>
          <w:spacing w:val="-4"/>
        </w:rPr>
        <w:footnoteReference w:id="6"/>
      </w:r>
      <w:r>
        <w:rPr>
          <w:spacing w:val="-4"/>
        </w:rPr>
        <w:t>、坚定</w:t>
      </w:r>
      <w:r>
        <w:rPr>
          <w:rFonts w:hint="eastAsia"/>
          <w:spacing w:val="-4"/>
        </w:rPr>
        <w:t>“</w:t>
      </w:r>
      <w:r>
        <w:rPr>
          <w:spacing w:val="-4"/>
        </w:rPr>
        <w:t>四个自信</w:t>
      </w:r>
      <w:r>
        <w:rPr>
          <w:rFonts w:hint="eastAsia"/>
          <w:spacing w:val="-4"/>
        </w:rPr>
        <w:t>”</w:t>
      </w:r>
      <w:r>
        <w:rPr>
          <w:rStyle w:val="21"/>
          <w:spacing w:val="-4"/>
        </w:rPr>
        <w:footnoteReference w:id="7"/>
      </w:r>
      <w:r>
        <w:rPr>
          <w:spacing w:val="-4"/>
        </w:rPr>
        <w:t>、</w:t>
      </w:r>
      <w:r>
        <w:t>做好</w:t>
      </w:r>
      <w:r>
        <w:rPr>
          <w:rFonts w:hint="eastAsia"/>
        </w:rPr>
        <w:t>“</w:t>
      </w:r>
      <w:r>
        <w:t>两个维护</w:t>
      </w:r>
      <w:r>
        <w:rPr>
          <w:rFonts w:hint="eastAsia"/>
        </w:rPr>
        <w:t>”</w:t>
      </w:r>
      <w:r>
        <w:rPr>
          <w:rStyle w:val="21"/>
        </w:rPr>
        <w:footnoteReference w:id="8"/>
      </w:r>
      <w:r>
        <w:t>，充分发挥党总揽全局、协调各方的领导核心作用，坚持和完善党领导经济社会发展的体制机制，不断提高贯彻新发展理念、构建新发展格局的能力和水平，为实现高质量发展提供根本保证。</w:t>
      </w:r>
    </w:p>
    <w:p>
      <w:pPr>
        <w:overflowPunct w:val="0"/>
        <w:spacing w:line="600" w:lineRule="exact"/>
        <w:ind w:firstLine="643"/>
      </w:pPr>
      <w:r>
        <w:rPr>
          <w:b/>
          <w:bCs/>
        </w:rPr>
        <w:t>坚持以人民为中心。</w:t>
      </w:r>
      <w:r>
        <w:t>坚持人民主体地位，坚持共同富裕方向，始终做到发展为了人民、发展依靠人民、发展成果由人民共享，维护人民根本利益，</w:t>
      </w:r>
      <w:r>
        <w:rPr>
          <w:rFonts w:hint="eastAsia"/>
        </w:rPr>
        <w:t>促进</w:t>
      </w:r>
      <w:r>
        <w:t>社会公平，增进民生福祉，全面提升人民群众的获得感、幸福感和安全感。</w:t>
      </w:r>
    </w:p>
    <w:p>
      <w:pPr>
        <w:overflowPunct w:val="0"/>
        <w:spacing w:line="600" w:lineRule="exact"/>
        <w:ind w:firstLine="643"/>
      </w:pPr>
      <w:r>
        <w:rPr>
          <w:b/>
          <w:bCs/>
        </w:rPr>
        <w:t>坚持新发展理念。</w:t>
      </w:r>
      <w:r>
        <w:t>把新发展理念贯穿发展全过程和各领域，坚持发展是第一要务、人才是第一资源、创新是第一动力，积极融入新发展格局，切实转变发展方式，推动质量变革、效率变革、动力变革，实现更高质量、更有效率、更加公平、更可持续、更为安全的发展。</w:t>
      </w:r>
    </w:p>
    <w:p>
      <w:pPr>
        <w:overflowPunct w:val="0"/>
        <w:spacing w:line="600" w:lineRule="exact"/>
        <w:ind w:firstLine="643"/>
      </w:pPr>
      <w:r>
        <w:rPr>
          <w:b/>
          <w:bCs/>
        </w:rPr>
        <w:t>坚持深化改革开放。</w:t>
      </w:r>
      <w:r>
        <w:t>坚定不移用好改革开放关键一招，以开放促改革、促发展、促创新，加强治理体系和治理能力现代化建设，破除制约高质量发展、高品质生活的体制机制障碍，持续增强发展动力和活力。</w:t>
      </w:r>
    </w:p>
    <w:p>
      <w:pPr>
        <w:pStyle w:val="8"/>
        <w:overflowPunct w:val="0"/>
        <w:spacing w:line="600" w:lineRule="exact"/>
        <w:ind w:firstLine="643"/>
      </w:pPr>
      <w:r>
        <w:rPr>
          <w:b/>
          <w:bCs/>
        </w:rPr>
        <w:t>坚持系统观念。</w:t>
      </w:r>
      <w:r>
        <w:t>加强前瞻性思考、全局性谋划、战略性布局、整体性推进，坚持服从服务国家和全省发展大局，坚持全市一盘棋，办好发展和安全两件大事，着力固根基、扬优势、补短板、强弱项，注重防范化解重大风险挑战，实现发展质量、结构、规模、速度、效益、安全相统一。</w:t>
      </w:r>
    </w:p>
    <w:p>
      <w:pPr>
        <w:overflowPunct w:val="0"/>
        <w:spacing w:line="600" w:lineRule="exact"/>
        <w:ind w:firstLine="658"/>
        <w:rPr>
          <w:spacing w:val="4"/>
        </w:rPr>
      </w:pPr>
      <w:r>
        <w:rPr>
          <w:b/>
          <w:bCs/>
          <w:spacing w:val="4"/>
        </w:rPr>
        <w:t>坚持实体经济优先。</w:t>
      </w:r>
      <w:r>
        <w:rPr>
          <w:spacing w:val="4"/>
        </w:rPr>
        <w:t>把实体经济作为立市之本，推动资源要素向实体经济集聚、政策措施向实体经济倾斜、工作力量向实体经济加强，集中力量做大做强优势主导产业，前瞻布局战略</w:t>
      </w:r>
      <w:r>
        <w:rPr>
          <w:rFonts w:hint="eastAsia"/>
          <w:spacing w:val="4"/>
        </w:rPr>
        <w:t>性</w:t>
      </w:r>
      <w:r>
        <w:rPr>
          <w:spacing w:val="4"/>
        </w:rPr>
        <w:t>新兴产业，深化供给侧结构性改革，</w:t>
      </w:r>
      <w:r>
        <w:rPr>
          <w:rFonts w:hint="eastAsia"/>
          <w:spacing w:val="4"/>
        </w:rPr>
        <w:t>加快建设</w:t>
      </w:r>
      <w:r>
        <w:rPr>
          <w:spacing w:val="4"/>
        </w:rPr>
        <w:t>现代化经济体系。</w:t>
      </w:r>
    </w:p>
    <w:p>
      <w:pPr>
        <w:overflowPunct w:val="0"/>
        <w:spacing w:line="600" w:lineRule="exact"/>
        <w:ind w:firstLine="640"/>
      </w:pPr>
    </w:p>
    <w:p>
      <w:pPr>
        <w:pStyle w:val="5"/>
        <w:overflowPunct w:val="0"/>
        <w:spacing w:line="600" w:lineRule="exact"/>
      </w:pPr>
      <w:bookmarkStart w:id="28" w:name="_Toc17698"/>
      <w:bookmarkStart w:id="29" w:name="_Toc12970"/>
      <w:bookmarkStart w:id="30" w:name="_Toc360"/>
      <w:bookmarkStart w:id="31" w:name="_Toc2062"/>
      <w:r>
        <w:t>第三节  发展目标</w:t>
      </w:r>
      <w:bookmarkEnd w:id="28"/>
      <w:bookmarkEnd w:id="29"/>
      <w:bookmarkEnd w:id="30"/>
      <w:bookmarkEnd w:id="31"/>
    </w:p>
    <w:p>
      <w:pPr>
        <w:ind w:firstLine="640"/>
      </w:pPr>
      <w:r>
        <w:t>立足惠州发展阶段和发展优势，充分衔接国家和省发展规划，坚持目标导向和问题导向相结合，坚持守正和创新相统一，</w:t>
      </w:r>
      <w:r>
        <w:rPr>
          <w:rFonts w:hint="eastAsia"/>
        </w:rPr>
        <w:t>树立比学赶超意识，强化争先进位理念，坚定高质量发展信心，激发干事创业热情，推动经济社会发展实现大幅跃升。2035年远景目标和“十四五”时期经济社会发展主要目标如下。</w:t>
      </w:r>
    </w:p>
    <w:p>
      <w:pPr>
        <w:spacing w:line="600" w:lineRule="exact"/>
        <w:ind w:firstLine="640"/>
      </w:pPr>
      <w:r>
        <w:rPr>
          <w:rFonts w:hint="eastAsia"/>
        </w:rPr>
        <w:t>展望2035年，惠州将基本实现社会主义现代化，经济实力、发展质量跻身全国一流城市行列，人均地区生产总值达到中等偏上发达国家水平。石化能源新材料、电子信息产业实力国内一流，成为国际一流湾区能源科技创新中心。基本实现新型工业化、信息化、城镇化、农业现代化，高质量建成现代化经济体系。社会治理体系和治理能力现代化基本实现。教育、文化、卫生、体育民生事业加快发展，广泛形成绿色生产生活方式，碳排放达峰后稳中有降，能源利用效率稳步提升，生态环境持续优化，建成美丽惠州。中等收入群体显著扩大，基本公共服务达到国内先进水平，城乡区域发展差距和居民生活水平差距显著缩小。国内一流城市的影响力、知名度显著提升，建成城市特质更加明显、竞争力更强、开放水平更高、民生福祉更好、经济社会发展韧劲更足的粤港澳大湾区现代化城市。</w:t>
      </w:r>
    </w:p>
    <w:p>
      <w:pPr>
        <w:spacing w:line="600" w:lineRule="exact"/>
        <w:ind w:firstLine="640"/>
      </w:pPr>
      <w:r>
        <w:rPr>
          <w:rFonts w:hint="eastAsia"/>
        </w:rPr>
        <w:t>锚定2035年基本实现社会主义现代化目标，到2025年，惠州经济社会实现高质量跨越式发展，建设更加幸福国内一流城市。</w:t>
      </w:r>
    </w:p>
    <w:p>
      <w:pPr>
        <w:overflowPunct w:val="0"/>
        <w:spacing w:line="600" w:lineRule="exact"/>
        <w:ind w:firstLine="643"/>
      </w:pPr>
      <w:r>
        <w:rPr>
          <w:b/>
          <w:bCs/>
        </w:rPr>
        <w:t>经济实力跃上新台阶。</w:t>
      </w:r>
      <w:r>
        <w:t>在质量效益明显提升的基础上，经济保持健康快速发展，全市GDP年均增长7.5%左右，到2025年，GDP超过6000亿元，地方一般公共预算收入突破600亿元，固定资产投资累计突破1.6万亿元。基础设施支撑能力显著提升，新型工业化、信息化、城镇化、农业现代化取得突破性进展，经济内生动力明显增强，经济结构更加优化，基本形成珠江东岸新增长极。</w:t>
      </w:r>
    </w:p>
    <w:p>
      <w:pPr>
        <w:overflowPunct w:val="0"/>
        <w:spacing w:line="600" w:lineRule="exact"/>
        <w:ind w:firstLine="643"/>
      </w:pPr>
      <w:r>
        <w:rPr>
          <w:b/>
          <w:bCs/>
        </w:rPr>
        <w:t>创新引领获得新支撑。</w:t>
      </w:r>
      <w:r>
        <w:t>基本建成大科学装置及省实验室，能源、新材料、高端电子信息、生命科学等科研创新能力较大提升，产业关键核心技术攻</w:t>
      </w:r>
      <w:r>
        <w:rPr>
          <w:rFonts w:hint="eastAsia"/>
        </w:rPr>
        <w:t>关</w:t>
      </w:r>
      <w:r>
        <w:t>取得实质进展。创新主体大量涌现，高新技术企业超过3000家，专精特新企业突破600家。创新人才加速聚集，人才总量达108万人，高水平科技人才、创新团队和高技能人才队伍的规模大幅提高。创新投入</w:t>
      </w:r>
      <w:r>
        <w:rPr>
          <w:rFonts w:hint="eastAsia"/>
        </w:rPr>
        <w:t>持续加大</w:t>
      </w:r>
      <w:r>
        <w:t>且更加精准有效，</w:t>
      </w:r>
      <w:r>
        <w:rPr>
          <w:rFonts w:hint="eastAsia"/>
        </w:rPr>
        <w:t>全社会研发经费投入</w:t>
      </w:r>
      <w:r>
        <w:t>占GDP</w:t>
      </w:r>
      <w:r>
        <w:rPr>
          <w:rFonts w:hint="eastAsia"/>
        </w:rPr>
        <w:t>比重</w:t>
      </w:r>
      <w:r>
        <w:t>达到省平均水平，数字经济核心产业增加值占GDP比重达25%，基本形成以创新为主要引领和支撑的产业体系和发展模式。</w:t>
      </w:r>
    </w:p>
    <w:p>
      <w:pPr>
        <w:overflowPunct w:val="0"/>
        <w:spacing w:line="600" w:lineRule="exact"/>
        <w:ind w:firstLine="643"/>
      </w:pPr>
      <w:r>
        <w:rPr>
          <w:b/>
          <w:bCs/>
        </w:rPr>
        <w:t>产业竞争力更具新优势。</w:t>
      </w:r>
      <w:r>
        <w:t>重大产业平台建设取得突破性进展，石化能源新材料、电子信息两大产业呈现规模集群效应，年总产值分别达到5000亿元、6500亿元；生命健康产业发展取得积极进展，中医药产业初具规模；战略性新兴产业蓬勃发展。产业链现代化水平明显提高，更好融入新发展格局，内源型经济动力明显增强，外向型经济向高附加值迈进，制造业增加值占GDP比重不低于35%，先进制造业和高技术制造业增加值占规上工业增加值比重分别达到65%和45%以上。</w:t>
      </w:r>
    </w:p>
    <w:p>
      <w:pPr>
        <w:overflowPunct w:val="0"/>
        <w:spacing w:line="600" w:lineRule="exact"/>
        <w:ind w:firstLine="643"/>
      </w:pPr>
      <w:r>
        <w:rPr>
          <w:b/>
          <w:bCs/>
        </w:rPr>
        <w:t>改革开放迈上新高度。</w:t>
      </w:r>
      <w:r>
        <w:t>高标准市场体系基本建成，公平竞争制度更加健全，政府服务更加优质高效，市场主体更加充满活力，营商环境大幅优化、排名不断攀升。对外开放步伐加快，有效复制推广自贸试验区、深圳先行示范区成功经验，海关特殊监管区、跨境电商综合试验区建设取得重大进展，外贸进出口稳中提质，双向投资质量显著提高，实际利用外商直接投资较快增长，开放型经济发展水平明显提升。</w:t>
      </w:r>
    </w:p>
    <w:p>
      <w:pPr>
        <w:overflowPunct w:val="0"/>
        <w:spacing w:line="600" w:lineRule="exact"/>
        <w:ind w:firstLine="643"/>
        <w:rPr>
          <w:spacing w:val="4"/>
        </w:rPr>
      </w:pPr>
      <w:r>
        <w:rPr>
          <w:b/>
          <w:bCs/>
        </w:rPr>
        <w:t>社会文明程度达到新水平。</w:t>
      </w:r>
      <w:r>
        <w:t>社会主义核心价值观深入人心，社会主义公平正义进一步彰显，</w:t>
      </w:r>
      <w:r>
        <w:rPr>
          <w:rFonts w:hint="eastAsia"/>
        </w:rPr>
        <w:t>“</w:t>
      </w:r>
      <w:r>
        <w:t>岭东雄郡</w:t>
      </w:r>
      <w:r>
        <w:rPr>
          <w:rFonts w:hint="eastAsia"/>
        </w:rPr>
        <w:t>”</w:t>
      </w:r>
      <w:r>
        <w:t>城市精神更加凸显、文艺创作精品迭出、文体设施功能持续完善、文化服务优</w:t>
      </w:r>
      <w:r>
        <w:rPr>
          <w:spacing w:val="4"/>
        </w:rPr>
        <w:t>质惠民、文化软实力显著增强，打响粤港澳大湾区文旅名城品牌，国家历史文化名城焕发新光彩，全国文明城市成果持续巩固提升，实现全国文明城市市县全覆盖，人民思想道德素质、科学文化素质和身心健康素质明显提高，文化强市建设取得新突破。</w:t>
      </w:r>
    </w:p>
    <w:p>
      <w:pPr>
        <w:overflowPunct w:val="0"/>
        <w:spacing w:line="600" w:lineRule="exact"/>
        <w:ind w:firstLine="643"/>
      </w:pPr>
      <w:r>
        <w:rPr>
          <w:b/>
          <w:bCs/>
        </w:rPr>
        <w:t>生态文明建设迈入新境界。</w:t>
      </w:r>
      <w:r>
        <w:t>国土空间开发保护格局清晰合理，生态文明制度体系基本建成，绿色</w:t>
      </w:r>
      <w:r>
        <w:rPr>
          <w:rFonts w:hint="eastAsia"/>
        </w:rPr>
        <w:t>低碳发展模式加快形成</w:t>
      </w:r>
      <w:r>
        <w:t>，能源资源利用效率大幅提高，主要污染物排放总量持续减少，生态系统安全性稳定性显著增强，确保全市地表水水质优良比例达到省下达任务目标，国省考断面全面稳定达标，森林覆盖率不低于62.01%，空气质量稳居在全国重点城市前列，打造青山常在、绿水长流、空气常新的美丽惠州。</w:t>
      </w:r>
    </w:p>
    <w:p>
      <w:pPr>
        <w:overflowPunct w:val="0"/>
        <w:spacing w:line="600" w:lineRule="exact"/>
        <w:ind w:firstLine="643"/>
      </w:pPr>
      <w:r>
        <w:rPr>
          <w:b/>
          <w:bCs/>
        </w:rPr>
        <w:t>幸福惠州建设取得新成效。</w:t>
      </w:r>
      <w:r>
        <w:t>实现更加充分更高质量就业，居民人均可支配收入年均增长7.5%，中等收入群体比例有较大提高。脱贫攻坚成果巩固拓展，乡村振兴战略全面推进，城乡收入差距持续缩小。积极应对人口老龄化，构建养老、孝老、敬老服务体系和社会环境，人均预期寿命达80岁。多层次社会保</w:t>
      </w:r>
      <w:r>
        <w:rPr>
          <w:spacing w:val="4"/>
        </w:rPr>
        <w:t>障体系更加健全。县域内住院率达到90%以上，消</w:t>
      </w:r>
      <w:r>
        <w:t>除城镇中小学</w:t>
      </w:r>
      <w:r>
        <w:rPr>
          <w:rFonts w:hint="eastAsia"/>
        </w:rPr>
        <w:t>“</w:t>
      </w:r>
      <w:r>
        <w:t>大班额</w:t>
      </w:r>
      <w:r>
        <w:rPr>
          <w:rFonts w:hint="eastAsia"/>
        </w:rPr>
        <w:t>”</w:t>
      </w:r>
      <w:r>
        <w:t>现象，基本实现幼有善育、学有优教、劳有厚得、病有良医、老有颐养、住有宜居、弱有众扶，人民群众获得感成色更足、幸福感更可持续、安全感更有保障，成为</w:t>
      </w:r>
      <w:r>
        <w:rPr>
          <w:rFonts w:hint="eastAsia"/>
        </w:rPr>
        <w:t>“</w:t>
      </w:r>
      <w:r>
        <w:t>近者悦、远者来</w:t>
      </w:r>
      <w:r>
        <w:rPr>
          <w:rFonts w:hint="eastAsia"/>
        </w:rPr>
        <w:t>”</w:t>
      </w:r>
      <w:r>
        <w:t>的美好城市。</w:t>
      </w:r>
    </w:p>
    <w:p>
      <w:pPr>
        <w:overflowPunct w:val="0"/>
        <w:spacing w:line="600" w:lineRule="exact"/>
        <w:ind w:firstLine="643"/>
        <w:rPr>
          <w:spacing w:val="4"/>
        </w:rPr>
      </w:pPr>
      <w:r>
        <w:rPr>
          <w:b/>
          <w:bCs/>
        </w:rPr>
        <w:t>治理体系和治理能力实现新发展。</w:t>
      </w:r>
      <w:r>
        <w:t>地方性法规和规章更加完善，行政效率和公信力显著提升，法治惠州建设成效显著，平安惠州</w:t>
      </w:r>
      <w:r>
        <w:rPr>
          <w:rFonts w:hint="eastAsia"/>
        </w:rPr>
        <w:t>建设</w:t>
      </w:r>
      <w:r>
        <w:t>达到更高水平，建设成为全省最安全稳定、最公平公正、法治环境最好的地区之一。</w:t>
      </w:r>
      <w:r>
        <w:rPr>
          <w:spacing w:val="4"/>
        </w:rPr>
        <w:t>社会治理体系更加完善，社会治理特别是基层治理水平明显提高，社会治理共同体建设取得显著进展。</w:t>
      </w:r>
    </w:p>
    <w:p>
      <w:pPr>
        <w:overflowPunct w:val="0"/>
        <w:spacing w:line="600" w:lineRule="exact"/>
        <w:ind w:firstLine="643"/>
      </w:pPr>
      <w:r>
        <w:rPr>
          <w:b/>
          <w:bCs/>
        </w:rPr>
        <w:t>统筹发展和安全实现新提升。</w:t>
      </w:r>
      <w:r>
        <w:t>安全发展贯穿经济社会发展各领域和全过程，安全保障体系和能力建设进一步加强，防范化解重大风险体制机制不断健全，政治安全、经济安全、人民生命安全、社会安全保障更加有力，突发公共事件应急能力显著增强，自然灾害防御水平明显提升。</w:t>
      </w:r>
    </w:p>
    <w:p>
      <w:pPr>
        <w:ind w:firstLine="640"/>
      </w:pPr>
      <w:r>
        <w:br w:type="page"/>
      </w:r>
    </w:p>
    <w:p>
      <w:pPr>
        <w:overflowPunct w:val="0"/>
        <w:spacing w:line="240" w:lineRule="auto"/>
        <w:ind w:firstLine="0" w:firstLineChars="0"/>
        <w:jc w:val="center"/>
      </w:pPr>
      <w:r>
        <w:drawing>
          <wp:inline distT="0" distB="0" distL="114300" distR="114300">
            <wp:extent cx="4431665" cy="2668270"/>
            <wp:effectExtent l="4445" t="4445" r="21590" b="13335"/>
            <wp:docPr id="2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26"/>
        <w:overflowPunct w:val="0"/>
        <w:spacing w:line="240" w:lineRule="auto"/>
      </w:pPr>
      <w:r>
        <w:rPr>
          <w:rFonts w:hint="eastAsia"/>
        </w:rPr>
        <w:t>图2 惠州市地区生产总值（亿元）</w:t>
      </w:r>
    </w:p>
    <w:p>
      <w:pPr>
        <w:overflowPunct w:val="0"/>
        <w:spacing w:line="240" w:lineRule="auto"/>
        <w:ind w:firstLine="0" w:firstLineChars="0"/>
        <w:jc w:val="center"/>
      </w:pPr>
      <w:r>
        <w:drawing>
          <wp:inline distT="0" distB="0" distL="114300" distR="114300">
            <wp:extent cx="4444365" cy="2432050"/>
            <wp:effectExtent l="4445" t="4445" r="8890" b="14605"/>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26"/>
        <w:overflowPunct w:val="0"/>
        <w:spacing w:line="240" w:lineRule="auto"/>
      </w:pPr>
      <w:r>
        <w:rPr>
          <w:rFonts w:hint="eastAsia"/>
        </w:rPr>
        <w:t>图3 惠州市固定资产投资累计完成额（亿元）</w:t>
      </w:r>
    </w:p>
    <w:p>
      <w:pPr>
        <w:overflowPunct w:val="0"/>
        <w:spacing w:line="240" w:lineRule="auto"/>
        <w:ind w:firstLine="0" w:firstLineChars="0"/>
        <w:jc w:val="center"/>
      </w:pPr>
      <w:r>
        <w:drawing>
          <wp:inline distT="0" distB="0" distL="114300" distR="114300">
            <wp:extent cx="4481195" cy="2588895"/>
            <wp:effectExtent l="4445" t="4445" r="10160" b="10160"/>
            <wp:docPr id="1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26"/>
        <w:overflowPunct w:val="0"/>
        <w:spacing w:line="240" w:lineRule="auto"/>
      </w:pPr>
      <w:r>
        <w:rPr>
          <w:rFonts w:hint="eastAsia"/>
        </w:rPr>
        <w:t>图4 惠州市工业投资累计完成额（亿元）</w:t>
      </w:r>
    </w:p>
    <w:p>
      <w:pPr>
        <w:overflowPunct w:val="0"/>
        <w:spacing w:line="240" w:lineRule="auto"/>
        <w:ind w:firstLine="0" w:firstLineChars="0"/>
        <w:jc w:val="center"/>
      </w:pPr>
      <w:r>
        <w:rPr>
          <w:rFonts w:hint="eastAsia"/>
        </w:rPr>
        <w:br w:type="page"/>
      </w:r>
    </w:p>
    <w:p>
      <w:pPr>
        <w:pStyle w:val="26"/>
        <w:overflowPunct w:val="0"/>
        <w:spacing w:line="600" w:lineRule="exact"/>
      </w:pPr>
      <w:r>
        <w:rPr>
          <w:rFonts w:hint="eastAsia"/>
        </w:rPr>
        <w:t xml:space="preserve">表2 </w:t>
      </w:r>
      <w:r>
        <w:t>惠州市</w:t>
      </w:r>
      <w:r>
        <w:rPr>
          <w:rFonts w:hint="eastAsia"/>
        </w:rPr>
        <w:t>“</w:t>
      </w:r>
      <w:r>
        <w:t>十四五</w:t>
      </w:r>
      <w:r>
        <w:rPr>
          <w:rFonts w:hint="eastAsia"/>
        </w:rPr>
        <w:t>”</w:t>
      </w:r>
      <w:r>
        <w:t>经济社会发展主要指标表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4216"/>
        <w:gridCol w:w="1050"/>
        <w:gridCol w:w="1284"/>
        <w:gridCol w:w="1266"/>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641" w:type="dxa"/>
            <w:tcBorders>
              <w:tl2br w:val="nil"/>
              <w:tr2bl w:val="nil"/>
            </w:tcBorders>
            <w:shd w:val="clear" w:color="auto" w:fill="D8D8D8" w:themeFill="background1" w:themeFillShade="D9"/>
            <w:tcMar>
              <w:top w:w="68" w:type="dxa"/>
              <w:left w:w="57" w:type="dxa"/>
              <w:bottom w:w="68" w:type="dxa"/>
              <w:right w:w="57" w:type="dxa"/>
            </w:tcMar>
            <w:vAlign w:val="center"/>
          </w:tcPr>
          <w:p>
            <w:pPr>
              <w:pStyle w:val="31"/>
              <w:overflowPunct w:val="0"/>
              <w:spacing w:line="240" w:lineRule="auto"/>
              <w:rPr>
                <w:rFonts w:eastAsia="黑体"/>
              </w:rPr>
            </w:pPr>
            <w:r>
              <w:rPr>
                <w:rFonts w:eastAsia="黑体"/>
              </w:rPr>
              <w:t>序号</w:t>
            </w:r>
          </w:p>
        </w:tc>
        <w:tc>
          <w:tcPr>
            <w:tcW w:w="4216" w:type="dxa"/>
            <w:tcBorders>
              <w:tl2br w:val="nil"/>
              <w:tr2bl w:val="nil"/>
            </w:tcBorders>
            <w:shd w:val="clear" w:color="auto" w:fill="D8D8D8" w:themeFill="background1" w:themeFillShade="D9"/>
            <w:tcMar>
              <w:top w:w="68" w:type="dxa"/>
              <w:left w:w="57" w:type="dxa"/>
              <w:bottom w:w="68" w:type="dxa"/>
              <w:right w:w="57" w:type="dxa"/>
            </w:tcMar>
            <w:vAlign w:val="center"/>
          </w:tcPr>
          <w:p>
            <w:pPr>
              <w:pStyle w:val="31"/>
              <w:overflowPunct w:val="0"/>
              <w:spacing w:line="240" w:lineRule="auto"/>
              <w:rPr>
                <w:rFonts w:eastAsia="黑体"/>
              </w:rPr>
            </w:pPr>
            <w:r>
              <w:rPr>
                <w:rFonts w:eastAsia="黑体"/>
              </w:rPr>
              <w:t>指标</w:t>
            </w:r>
          </w:p>
        </w:tc>
        <w:tc>
          <w:tcPr>
            <w:tcW w:w="1050" w:type="dxa"/>
            <w:tcBorders>
              <w:tl2br w:val="nil"/>
              <w:tr2bl w:val="nil"/>
            </w:tcBorders>
            <w:shd w:val="clear" w:color="auto" w:fill="D8D8D8" w:themeFill="background1" w:themeFillShade="D9"/>
            <w:tcMar>
              <w:top w:w="68" w:type="dxa"/>
              <w:left w:w="57" w:type="dxa"/>
              <w:bottom w:w="68" w:type="dxa"/>
              <w:right w:w="57" w:type="dxa"/>
            </w:tcMar>
            <w:vAlign w:val="center"/>
          </w:tcPr>
          <w:p>
            <w:pPr>
              <w:pStyle w:val="31"/>
              <w:overflowPunct w:val="0"/>
              <w:spacing w:line="240" w:lineRule="auto"/>
              <w:rPr>
                <w:rFonts w:eastAsia="黑体"/>
              </w:rPr>
            </w:pPr>
            <w:r>
              <w:rPr>
                <w:rFonts w:eastAsia="黑体"/>
              </w:rPr>
              <w:t>2020年</w:t>
            </w:r>
          </w:p>
        </w:tc>
        <w:tc>
          <w:tcPr>
            <w:tcW w:w="1284" w:type="dxa"/>
            <w:tcBorders>
              <w:tl2br w:val="nil"/>
              <w:tr2bl w:val="nil"/>
            </w:tcBorders>
            <w:shd w:val="clear" w:color="auto" w:fill="D8D8D8" w:themeFill="background1" w:themeFillShade="D9"/>
            <w:tcMar>
              <w:top w:w="68" w:type="dxa"/>
              <w:left w:w="57" w:type="dxa"/>
              <w:bottom w:w="68" w:type="dxa"/>
              <w:right w:w="57" w:type="dxa"/>
            </w:tcMar>
            <w:vAlign w:val="center"/>
          </w:tcPr>
          <w:p>
            <w:pPr>
              <w:pStyle w:val="31"/>
              <w:overflowPunct w:val="0"/>
              <w:topLinePunct/>
              <w:spacing w:line="240" w:lineRule="auto"/>
              <w:rPr>
                <w:rFonts w:eastAsia="黑体"/>
              </w:rPr>
            </w:pPr>
            <w:r>
              <w:rPr>
                <w:rFonts w:eastAsia="黑体"/>
              </w:rPr>
              <w:t>2025年</w:t>
            </w:r>
          </w:p>
        </w:tc>
        <w:tc>
          <w:tcPr>
            <w:tcW w:w="1266" w:type="dxa"/>
            <w:tcBorders>
              <w:tl2br w:val="nil"/>
              <w:tr2bl w:val="nil"/>
            </w:tcBorders>
            <w:shd w:val="clear" w:color="auto" w:fill="D8D8D8" w:themeFill="background1" w:themeFillShade="D9"/>
            <w:tcMar>
              <w:top w:w="68" w:type="dxa"/>
              <w:left w:w="57" w:type="dxa"/>
              <w:bottom w:w="68" w:type="dxa"/>
              <w:right w:w="57" w:type="dxa"/>
            </w:tcMar>
            <w:vAlign w:val="center"/>
          </w:tcPr>
          <w:p>
            <w:pPr>
              <w:pStyle w:val="31"/>
              <w:overflowPunct w:val="0"/>
              <w:spacing w:line="240" w:lineRule="auto"/>
              <w:rPr>
                <w:rFonts w:eastAsia="黑体"/>
              </w:rPr>
            </w:pPr>
            <w:r>
              <w:rPr>
                <w:rFonts w:eastAsia="黑体"/>
              </w:rPr>
              <w:t>年均增长</w:t>
            </w:r>
          </w:p>
          <w:p>
            <w:pPr>
              <w:pStyle w:val="31"/>
              <w:overflowPunct w:val="0"/>
              <w:spacing w:line="240" w:lineRule="auto"/>
              <w:rPr>
                <w:rFonts w:eastAsia="黑体"/>
              </w:rPr>
            </w:pPr>
            <w:r>
              <w:rPr>
                <w:rFonts w:eastAsia="黑体"/>
              </w:rPr>
              <w:t>[累计]</w:t>
            </w:r>
          </w:p>
        </w:tc>
        <w:tc>
          <w:tcPr>
            <w:tcW w:w="897" w:type="dxa"/>
            <w:tcBorders>
              <w:tl2br w:val="nil"/>
              <w:tr2bl w:val="nil"/>
            </w:tcBorders>
            <w:shd w:val="clear" w:color="auto" w:fill="D8D8D8" w:themeFill="background1" w:themeFillShade="D9"/>
            <w:tcMar>
              <w:top w:w="68" w:type="dxa"/>
              <w:left w:w="57" w:type="dxa"/>
              <w:bottom w:w="68" w:type="dxa"/>
              <w:right w:w="57" w:type="dxa"/>
            </w:tcMar>
            <w:vAlign w:val="center"/>
          </w:tcPr>
          <w:p>
            <w:pPr>
              <w:pStyle w:val="31"/>
              <w:overflowPunct w:val="0"/>
              <w:spacing w:line="240" w:lineRule="auto"/>
              <w:rPr>
                <w:rFonts w:eastAsia="黑体"/>
              </w:rPr>
            </w:pPr>
            <w:r>
              <w:rPr>
                <w:rFonts w:eastAsia="黑体"/>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Borders>
              <w:tl2br w:val="nil"/>
              <w:tr2bl w:val="nil"/>
            </w:tcBorders>
            <w:tcMar>
              <w:top w:w="68" w:type="dxa"/>
              <w:left w:w="57" w:type="dxa"/>
              <w:bottom w:w="68" w:type="dxa"/>
              <w:right w:w="57" w:type="dxa"/>
            </w:tcMar>
            <w:vAlign w:val="center"/>
          </w:tcPr>
          <w:p>
            <w:pPr>
              <w:pStyle w:val="31"/>
              <w:overflowPunct w:val="0"/>
              <w:spacing w:line="240" w:lineRule="auto"/>
              <w:jc w:val="left"/>
              <w:rPr>
                <w:rFonts w:eastAsia="宋体"/>
                <w:b/>
                <w:bCs/>
              </w:rPr>
            </w:pPr>
            <w:r>
              <w:rPr>
                <w:rFonts w:eastAsia="宋体"/>
                <w:b/>
                <w:bCs/>
              </w:rPr>
              <w:t>一、经济发展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地区生产总值增长（%）</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1.5</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7.5左右</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全员劳动生产率增长（%）</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5左右</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3</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常住人口城镇化率（%）</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72</w:t>
            </w:r>
            <w:r>
              <w:rPr>
                <w:rFonts w:hint="eastAsia" w:eastAsia="宋体"/>
              </w:rPr>
              <w:t>.8</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75</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4</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sz w:val="18"/>
                <w:szCs w:val="18"/>
              </w:rPr>
            </w:pPr>
            <w:r>
              <w:rPr>
                <w:rFonts w:eastAsia="宋体"/>
              </w:rPr>
              <w:t>制造业增加值占地区生产总值比重（%）</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36.7</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35以上</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5</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sz w:val="18"/>
                <w:szCs w:val="18"/>
              </w:rPr>
            </w:pPr>
            <w:r>
              <w:rPr>
                <w:rFonts w:eastAsia="宋体"/>
              </w:rPr>
              <w:t>固定资产投资（亿元）</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2440</w:t>
            </w:r>
          </w:p>
          <w:p>
            <w:pPr>
              <w:pStyle w:val="31"/>
              <w:overflowPunct w:val="0"/>
              <w:spacing w:line="240" w:lineRule="auto"/>
              <w:rPr>
                <w:rFonts w:eastAsia="宋体"/>
              </w:rPr>
            </w:pPr>
            <w:r>
              <w:rPr>
                <w:rFonts w:eastAsia="宋体"/>
              </w:rPr>
              <w:t>[10640]</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[16000]</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10</w:t>
            </w:r>
            <w:r>
              <w:rPr>
                <w:rFonts w:hint="eastAsia" w:eastAsia="宋体"/>
              </w:rPr>
              <w:t>%</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6</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sz w:val="18"/>
                <w:szCs w:val="18"/>
              </w:rPr>
            </w:pPr>
            <w:r>
              <w:rPr>
                <w:rFonts w:eastAsia="宋体"/>
              </w:rPr>
              <w:t>社会消费品零售总额（亿元）</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1746</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2800以上</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10</w:t>
            </w:r>
            <w:r>
              <w:rPr>
                <w:rFonts w:hint="eastAsia" w:eastAsia="宋体"/>
              </w:rPr>
              <w:t>%</w:t>
            </w:r>
            <w:r>
              <w:rPr>
                <w:rFonts w:eastAsia="宋体"/>
              </w:rPr>
              <w:t>以上</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Borders>
              <w:tl2br w:val="nil"/>
              <w:tr2bl w:val="nil"/>
            </w:tcBorders>
            <w:tcMar>
              <w:top w:w="68" w:type="dxa"/>
              <w:left w:w="57" w:type="dxa"/>
              <w:bottom w:w="68" w:type="dxa"/>
              <w:right w:w="57" w:type="dxa"/>
            </w:tcMar>
            <w:vAlign w:val="center"/>
          </w:tcPr>
          <w:p>
            <w:pPr>
              <w:pStyle w:val="31"/>
              <w:overflowPunct w:val="0"/>
              <w:spacing w:line="240" w:lineRule="auto"/>
              <w:jc w:val="left"/>
              <w:rPr>
                <w:rFonts w:eastAsia="宋体"/>
                <w:b/>
                <w:bCs/>
              </w:rPr>
            </w:pPr>
            <w:r>
              <w:rPr>
                <w:rFonts w:eastAsia="宋体"/>
                <w:b/>
                <w:bCs/>
              </w:rPr>
              <w:t>二、创新驱动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7</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全社会研发经费投入增长（%）</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5.2</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10以上</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8</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每万人口高价值发明专利拥有量（件）</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8.88</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10.8</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[1.92]</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9</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数字经济核心产业增加值占地区生产总值比重（%）</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20.5</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25</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10</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sz w:val="18"/>
                <w:szCs w:val="18"/>
              </w:rPr>
            </w:pPr>
            <w:r>
              <w:rPr>
                <w:rFonts w:eastAsia="宋体"/>
              </w:rPr>
              <w:t>省级工程中心（家）</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180</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230</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r>
              <w:rPr>
                <w:rFonts w:hint="eastAsia" w:eastAsia="宋体"/>
              </w:rPr>
              <w:t>50</w:t>
            </w:r>
            <w:r>
              <w:rPr>
                <w:rFonts w:eastAsia="宋体"/>
              </w:rPr>
              <w:t>]</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11</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sz w:val="18"/>
                <w:szCs w:val="18"/>
              </w:rPr>
            </w:pPr>
            <w:r>
              <w:rPr>
                <w:rFonts w:eastAsia="宋体"/>
              </w:rPr>
              <w:t>国家高新技术企业数（家）</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ind w:firstLine="240" w:firstLineChars="100"/>
              <w:jc w:val="both"/>
              <w:rPr>
                <w:rFonts w:eastAsia="宋体"/>
              </w:rPr>
            </w:pPr>
            <w:r>
              <w:rPr>
                <w:rFonts w:eastAsia="宋体"/>
              </w:rPr>
              <w:t>16</w:t>
            </w:r>
            <w:r>
              <w:rPr>
                <w:rFonts w:hint="eastAsia" w:eastAsia="宋体"/>
              </w:rPr>
              <w:t>28</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3000</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r>
              <w:rPr>
                <w:rFonts w:hint="eastAsia" w:eastAsia="宋体"/>
              </w:rPr>
              <w:t>1372</w:t>
            </w:r>
            <w:r>
              <w:rPr>
                <w:rFonts w:eastAsia="宋体"/>
              </w:rPr>
              <w:t>]</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Borders>
              <w:tl2br w:val="nil"/>
              <w:tr2bl w:val="nil"/>
            </w:tcBorders>
            <w:tcMar>
              <w:top w:w="68" w:type="dxa"/>
              <w:left w:w="57" w:type="dxa"/>
              <w:bottom w:w="68" w:type="dxa"/>
              <w:right w:w="57" w:type="dxa"/>
            </w:tcMar>
            <w:vAlign w:val="center"/>
          </w:tcPr>
          <w:p>
            <w:pPr>
              <w:pStyle w:val="31"/>
              <w:overflowPunct w:val="0"/>
              <w:spacing w:line="240" w:lineRule="auto"/>
              <w:jc w:val="left"/>
              <w:rPr>
                <w:rFonts w:eastAsia="宋体"/>
                <w:b/>
                <w:bCs/>
              </w:rPr>
            </w:pPr>
            <w:r>
              <w:rPr>
                <w:rFonts w:eastAsia="宋体"/>
                <w:b/>
                <w:bCs/>
              </w:rPr>
              <w:t>三、民生福祉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12</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居民人均可支配收入增长（%）</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7</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7.5</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13</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城镇调查失业率（%）</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5.5</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5.5</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14</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劳动年龄人口平均受教育年限（年）</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12.5</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15</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每千人口拥有执业（助理）医师数（人）</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2.96</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3.2</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[0.24]</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16</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基本养老保险参保率（%）</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9</w:t>
            </w:r>
            <w:r>
              <w:rPr>
                <w:rFonts w:hint="eastAsia" w:eastAsia="宋体"/>
              </w:rPr>
              <w:t>0</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9</w:t>
            </w:r>
            <w:r>
              <w:rPr>
                <w:rFonts w:hint="eastAsia" w:eastAsia="宋体"/>
              </w:rPr>
              <w:t>5</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17</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spacing w:val="-11"/>
              </w:rPr>
              <w:t>每千人口拥有3岁以下婴幼儿托位数（位）</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1.5</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5.5</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[4]</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18</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人均预期寿命（岁）</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79.1</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80</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[0.9]</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Borders>
              <w:tl2br w:val="nil"/>
              <w:tr2bl w:val="nil"/>
            </w:tcBorders>
            <w:tcMar>
              <w:top w:w="68" w:type="dxa"/>
              <w:left w:w="57" w:type="dxa"/>
              <w:bottom w:w="68" w:type="dxa"/>
              <w:right w:w="57" w:type="dxa"/>
            </w:tcMar>
            <w:vAlign w:val="center"/>
          </w:tcPr>
          <w:p>
            <w:pPr>
              <w:pStyle w:val="31"/>
              <w:overflowPunct w:val="0"/>
              <w:spacing w:line="240" w:lineRule="auto"/>
              <w:jc w:val="left"/>
              <w:rPr>
                <w:rFonts w:eastAsia="宋体"/>
                <w:b/>
                <w:bCs/>
              </w:rPr>
            </w:pPr>
            <w:r>
              <w:rPr>
                <w:rFonts w:eastAsia="宋体"/>
                <w:b/>
                <w:bCs/>
              </w:rPr>
              <w:t>四、绿色生态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19</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单位地区生产总值能源消耗降低（%）</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2550" w:type="dxa"/>
            <w:gridSpan w:val="2"/>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完成省下达的目标任务</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20</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spacing w:val="-11"/>
              </w:rPr>
              <w:t>单位地区生产总值二氧化碳排放降低（%）</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2550" w:type="dxa"/>
            <w:gridSpan w:val="2"/>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完成省下达的目标任务</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21</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城市空气质量优良天数比率（%）</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95.1</w:t>
            </w:r>
          </w:p>
          <w:p>
            <w:pPr>
              <w:pStyle w:val="31"/>
              <w:overflowPunct w:val="0"/>
              <w:spacing w:line="240" w:lineRule="auto"/>
              <w:rPr>
                <w:rFonts w:eastAsia="宋体"/>
              </w:rPr>
            </w:pPr>
            <w:r>
              <w:rPr>
                <w:rFonts w:eastAsia="宋体"/>
              </w:rPr>
              <w:t>（标况）</w:t>
            </w:r>
          </w:p>
        </w:tc>
        <w:tc>
          <w:tcPr>
            <w:tcW w:w="2550" w:type="dxa"/>
            <w:gridSpan w:val="2"/>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稳居全国重点</w:t>
            </w:r>
          </w:p>
          <w:p>
            <w:pPr>
              <w:pStyle w:val="31"/>
              <w:overflowPunct w:val="0"/>
              <w:spacing w:line="240" w:lineRule="auto"/>
              <w:rPr>
                <w:rFonts w:eastAsia="宋体"/>
              </w:rPr>
            </w:pPr>
            <w:r>
              <w:rPr>
                <w:rFonts w:eastAsia="宋体"/>
              </w:rPr>
              <w:t>监测城市前列</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22</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地表水达到或好于Ⅲ类水体比例（%）</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hint="eastAsia" w:eastAsia="宋体"/>
              </w:rPr>
              <w:t>88.9</w:t>
            </w:r>
          </w:p>
        </w:tc>
        <w:tc>
          <w:tcPr>
            <w:tcW w:w="2550" w:type="dxa"/>
            <w:gridSpan w:val="2"/>
            <w:tcBorders>
              <w:tl2br w:val="nil"/>
              <w:tr2bl w:val="nil"/>
            </w:tcBorders>
            <w:tcMar>
              <w:top w:w="68" w:type="dxa"/>
              <w:left w:w="57" w:type="dxa"/>
              <w:bottom w:w="68" w:type="dxa"/>
              <w:right w:w="57" w:type="dxa"/>
            </w:tcMar>
            <w:vAlign w:val="center"/>
          </w:tcPr>
          <w:p>
            <w:pPr>
              <w:overflowPunct w:val="0"/>
              <w:spacing w:line="240" w:lineRule="auto"/>
              <w:ind w:firstLine="0" w:firstLineChars="0"/>
              <w:jc w:val="center"/>
              <w:rPr>
                <w:rFonts w:eastAsia="宋体"/>
                <w:sz w:val="24"/>
              </w:rPr>
            </w:pPr>
            <w:r>
              <w:rPr>
                <w:rFonts w:eastAsia="宋体"/>
                <w:sz w:val="24"/>
              </w:rPr>
              <w:t>完成省下达的目标任务</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23</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森林覆盖率（%）</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61.61</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62.01</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[0.4]</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Borders>
              <w:tl2br w:val="nil"/>
              <w:tr2bl w:val="nil"/>
            </w:tcBorders>
            <w:tcMar>
              <w:top w:w="68" w:type="dxa"/>
              <w:left w:w="57" w:type="dxa"/>
              <w:bottom w:w="68" w:type="dxa"/>
              <w:right w:w="57" w:type="dxa"/>
            </w:tcMar>
            <w:vAlign w:val="center"/>
          </w:tcPr>
          <w:p>
            <w:pPr>
              <w:pStyle w:val="31"/>
              <w:overflowPunct w:val="0"/>
              <w:spacing w:line="240" w:lineRule="auto"/>
              <w:jc w:val="left"/>
              <w:rPr>
                <w:rFonts w:eastAsia="宋体"/>
                <w:b/>
                <w:bCs/>
              </w:rPr>
            </w:pPr>
            <w:r>
              <w:rPr>
                <w:rFonts w:eastAsia="宋体"/>
                <w:b/>
                <w:bCs/>
              </w:rPr>
              <w:t>五、安全保障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24</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粮食综合生产能力（万吨）</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60.44</w:t>
            </w:r>
          </w:p>
        </w:tc>
        <w:tc>
          <w:tcPr>
            <w:tcW w:w="1284"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60.44</w:t>
            </w:r>
          </w:p>
        </w:tc>
        <w:tc>
          <w:tcPr>
            <w:tcW w:w="1266"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25</w:t>
            </w:r>
          </w:p>
        </w:tc>
        <w:tc>
          <w:tcPr>
            <w:tcW w:w="4216" w:type="dxa"/>
            <w:tcBorders>
              <w:tl2br w:val="nil"/>
              <w:tr2bl w:val="nil"/>
            </w:tcBorders>
            <w:tcMar>
              <w:top w:w="68" w:type="dxa"/>
              <w:left w:w="57" w:type="dxa"/>
              <w:bottom w:w="68" w:type="dxa"/>
              <w:right w:w="57" w:type="dxa"/>
            </w:tcMar>
            <w:vAlign w:val="center"/>
          </w:tcPr>
          <w:p>
            <w:pPr>
              <w:pStyle w:val="31"/>
              <w:overflowPunct w:val="0"/>
              <w:spacing w:line="240" w:lineRule="auto"/>
              <w:jc w:val="both"/>
              <w:rPr>
                <w:rFonts w:eastAsia="宋体"/>
              </w:rPr>
            </w:pPr>
            <w:r>
              <w:rPr>
                <w:rFonts w:eastAsia="宋体"/>
              </w:rPr>
              <w:t>能源综合生产能力（万吨标准煤）</w:t>
            </w:r>
          </w:p>
        </w:tc>
        <w:tc>
          <w:tcPr>
            <w:tcW w:w="1050"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57.3</w:t>
            </w:r>
          </w:p>
        </w:tc>
        <w:tc>
          <w:tcPr>
            <w:tcW w:w="2550" w:type="dxa"/>
            <w:gridSpan w:val="2"/>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完成省下达的目标任务</w:t>
            </w:r>
          </w:p>
        </w:tc>
        <w:tc>
          <w:tcPr>
            <w:tcW w:w="897" w:type="dxa"/>
            <w:tcBorders>
              <w:tl2br w:val="nil"/>
              <w:tr2bl w:val="nil"/>
            </w:tcBorders>
            <w:tcMar>
              <w:top w:w="68" w:type="dxa"/>
              <w:left w:w="57" w:type="dxa"/>
              <w:bottom w:w="68" w:type="dxa"/>
              <w:right w:w="57" w:type="dxa"/>
            </w:tcMar>
            <w:vAlign w:val="center"/>
          </w:tcPr>
          <w:p>
            <w:pPr>
              <w:pStyle w:val="31"/>
              <w:overflowPunct w:val="0"/>
              <w:spacing w:line="240" w:lineRule="auto"/>
              <w:rPr>
                <w:rFonts w:eastAsia="宋体"/>
              </w:rPr>
            </w:pPr>
            <w:r>
              <w:rPr>
                <w:rFonts w:eastAsia="宋体"/>
              </w:rPr>
              <w:t>约束性</w:t>
            </w:r>
          </w:p>
        </w:tc>
      </w:tr>
    </w:tbl>
    <w:p>
      <w:pPr>
        <w:overflowPunct w:val="0"/>
        <w:spacing w:line="400" w:lineRule="exact"/>
        <w:ind w:firstLine="0" w:firstLineChars="0"/>
        <w:rPr>
          <w:sz w:val="21"/>
          <w:szCs w:val="21"/>
        </w:rPr>
      </w:pPr>
      <w:r>
        <w:rPr>
          <w:rFonts w:hint="eastAsia"/>
          <w:sz w:val="21"/>
          <w:szCs w:val="21"/>
        </w:rPr>
        <w:t>注：1．</w:t>
      </w:r>
      <w:r>
        <w:rPr>
          <w:rFonts w:hint="eastAsia" w:ascii="宋体" w:hAnsi="宋体" w:eastAsia="宋体" w:cs="宋体"/>
          <w:sz w:val="21"/>
          <w:szCs w:val="21"/>
        </w:rPr>
        <w:t>[ ]</w:t>
      </w:r>
      <w:r>
        <w:rPr>
          <w:rFonts w:hint="eastAsia"/>
          <w:sz w:val="21"/>
          <w:szCs w:val="21"/>
        </w:rPr>
        <w:t>内为累计数。</w:t>
      </w:r>
    </w:p>
    <w:p>
      <w:pPr>
        <w:overflowPunct w:val="0"/>
        <w:spacing w:line="400" w:lineRule="exact"/>
        <w:rPr>
          <w:sz w:val="21"/>
          <w:szCs w:val="21"/>
        </w:rPr>
      </w:pPr>
      <w:r>
        <w:rPr>
          <w:rFonts w:hint="eastAsia"/>
          <w:sz w:val="21"/>
          <w:szCs w:val="21"/>
        </w:rPr>
        <w:t>2．地区生产总值、全员劳动生产率、居民人均可支配收入增长速度为实际增速。</w:t>
      </w:r>
    </w:p>
    <w:p>
      <w:pPr>
        <w:overflowPunct w:val="0"/>
        <w:spacing w:line="400" w:lineRule="exact"/>
        <w:rPr>
          <w:sz w:val="21"/>
          <w:szCs w:val="21"/>
        </w:rPr>
      </w:pPr>
      <w:r>
        <w:rPr>
          <w:rFonts w:hint="eastAsia"/>
          <w:sz w:val="21"/>
          <w:szCs w:val="21"/>
        </w:rPr>
        <w:t>3．常住人口城镇化率指标数据为第七次人口普查数据，普查标准时点为2020年11月1日零时。</w:t>
      </w:r>
    </w:p>
    <w:p>
      <w:pPr>
        <w:overflowPunct w:val="0"/>
        <w:spacing w:line="400" w:lineRule="exact"/>
        <w:rPr>
          <w:sz w:val="21"/>
          <w:szCs w:val="21"/>
        </w:rPr>
      </w:pPr>
      <w:r>
        <w:rPr>
          <w:sz w:val="21"/>
          <w:szCs w:val="21"/>
        </w:rPr>
        <w:t>4</w:t>
      </w:r>
      <w:r>
        <w:rPr>
          <w:rFonts w:hint="eastAsia"/>
          <w:sz w:val="21"/>
          <w:szCs w:val="21"/>
        </w:rPr>
        <w:t>．数字经济核心产业增加值占地区生产总值比重的2020年现状值和2025年目标值，将根据国家统计局的统计口径进行调整。</w:t>
      </w:r>
    </w:p>
    <w:p>
      <w:pPr>
        <w:overflowPunct w:val="0"/>
        <w:spacing w:line="400" w:lineRule="exact"/>
        <w:rPr>
          <w:sz w:val="21"/>
          <w:szCs w:val="21"/>
        </w:rPr>
      </w:pPr>
      <w:r>
        <w:rPr>
          <w:sz w:val="21"/>
          <w:szCs w:val="21"/>
        </w:rPr>
        <w:t>5</w:t>
      </w:r>
      <w:r>
        <w:rPr>
          <w:rFonts w:hint="eastAsia"/>
          <w:sz w:val="21"/>
          <w:szCs w:val="21"/>
        </w:rPr>
        <w:t>．森林覆盖率指标的目标值，将根据最新国土三调森林资源数据进行修正。</w:t>
      </w:r>
    </w:p>
    <w:p>
      <w:pPr>
        <w:overflowPunct w:val="0"/>
        <w:spacing w:line="600" w:lineRule="exact"/>
        <w:ind w:firstLine="640"/>
      </w:pPr>
      <w:r>
        <w:br w:type="page"/>
      </w:r>
    </w:p>
    <w:p>
      <w:pPr>
        <w:pStyle w:val="4"/>
        <w:overflowPunct w:val="0"/>
        <w:rPr>
          <w:rFonts w:ascii="方正小标宋_GBK" w:eastAsia="方正小标宋_GBK"/>
          <w:spacing w:val="-28"/>
          <w:sz w:val="36"/>
          <w:szCs w:val="36"/>
        </w:rPr>
      </w:pPr>
      <w:bookmarkStart w:id="32" w:name="_Toc1535"/>
      <w:bookmarkStart w:id="33" w:name="_Toc32557"/>
      <w:bookmarkStart w:id="34" w:name="_Toc15942"/>
      <w:bookmarkStart w:id="35" w:name="_Toc16401"/>
      <w:r>
        <w:rPr>
          <w:rFonts w:hint="eastAsia" w:ascii="方正小标宋_GBK" w:eastAsia="方正小标宋_GBK"/>
          <w:sz w:val="36"/>
          <w:szCs w:val="36"/>
        </w:rPr>
        <w:t>第三章  实施创新驱动发展战略 建设更具影响力的</w:t>
      </w:r>
      <w:r>
        <w:rPr>
          <w:rFonts w:ascii="方正小标宋_GBK" w:eastAsia="方正小标宋_GBK"/>
          <w:sz w:val="36"/>
          <w:szCs w:val="36"/>
        </w:rPr>
        <w:br w:type="textWrapping"/>
      </w:r>
      <w:r>
        <w:rPr>
          <w:rFonts w:hint="eastAsia" w:ascii="方正小标宋_GBK" w:eastAsia="方正小标宋_GBK"/>
          <w:sz w:val="36"/>
          <w:szCs w:val="36"/>
        </w:rPr>
        <w:t>科技创新高地</w:t>
      </w:r>
      <w:bookmarkEnd w:id="32"/>
      <w:bookmarkEnd w:id="33"/>
      <w:bookmarkEnd w:id="34"/>
      <w:bookmarkEnd w:id="35"/>
    </w:p>
    <w:p>
      <w:pPr>
        <w:overflowPunct w:val="0"/>
        <w:spacing w:line="600" w:lineRule="exact"/>
        <w:ind w:firstLine="640"/>
      </w:pPr>
    </w:p>
    <w:p>
      <w:pPr>
        <w:overflowPunct w:val="0"/>
        <w:spacing w:line="600" w:lineRule="exact"/>
        <w:ind w:firstLine="640"/>
      </w:pPr>
      <w:r>
        <w:t>突出创新在推动高质量跨越式发展中的核心地位，深入实施创新驱动发展战略，推动产业创新和科技创新共同发展，构建良好的创新生态，加快形成以创新为主要引领和支撑的产业体系和发展模式，高水平建设国家创新型城市。</w:t>
      </w:r>
    </w:p>
    <w:p>
      <w:pPr>
        <w:pStyle w:val="9"/>
        <w:overflowPunct w:val="0"/>
        <w:spacing w:line="600" w:lineRule="exact"/>
      </w:pPr>
    </w:p>
    <w:p>
      <w:pPr>
        <w:pStyle w:val="5"/>
        <w:overflowPunct w:val="0"/>
        <w:spacing w:line="600" w:lineRule="exact"/>
      </w:pPr>
      <w:bookmarkStart w:id="36" w:name="_Toc19006"/>
      <w:bookmarkStart w:id="37" w:name="_Toc9238"/>
      <w:bookmarkStart w:id="38" w:name="_Toc27034"/>
      <w:bookmarkStart w:id="39" w:name="_Toc18141"/>
      <w:r>
        <w:t xml:space="preserve">第一节  </w:t>
      </w:r>
      <w:r>
        <w:rPr>
          <w:rFonts w:hint="eastAsia"/>
        </w:rPr>
        <w:t>加快</w:t>
      </w:r>
      <w:r>
        <w:t>建设</w:t>
      </w:r>
      <w:r>
        <w:rPr>
          <w:rFonts w:hint="eastAsia"/>
        </w:rPr>
        <w:t>能源科技创新中心</w:t>
      </w:r>
      <w:bookmarkEnd w:id="36"/>
      <w:bookmarkEnd w:id="37"/>
      <w:bookmarkEnd w:id="38"/>
      <w:bookmarkEnd w:id="39"/>
    </w:p>
    <w:p>
      <w:pPr>
        <w:overflowPunct w:val="0"/>
        <w:spacing w:line="600" w:lineRule="exact"/>
        <w:ind w:firstLine="643"/>
      </w:pPr>
      <w:r>
        <w:rPr>
          <w:b/>
          <w:bCs/>
        </w:rPr>
        <w:t>加快建设重大科技基础设施。</w:t>
      </w:r>
      <w:r>
        <w:t>加快推进中科院加速器驱动嬗变研究装置、强流重离子加速器装置建设，同步推进高能量密度研究平台及同位素研发平台建设，规划建设高密度能源燃料研究装置等科学装置项目，争取更多科学装置落户，打造国家大科学装置集群和国际核科学与技术研究中心。参与粤港澳大湾区国际科技创新中心建设，在新能源</w:t>
      </w:r>
      <w:r>
        <w:rPr>
          <w:rFonts w:hint="eastAsia"/>
        </w:rPr>
        <w:t>等</w:t>
      </w:r>
      <w:r>
        <w:t>领域建设一批联合实验室和前沿科学交叉研究平台，建立重大科技基础设施和仪器设备开放共享机制，与广深港澳合作开展能源、新材料、高端电子信息、生命科学基础研究和应用基础研究。</w:t>
      </w:r>
    </w:p>
    <w:p>
      <w:pPr>
        <w:overflowPunct w:val="0"/>
        <w:spacing w:line="600" w:lineRule="exact"/>
        <w:ind w:firstLine="643"/>
      </w:pPr>
      <w:r>
        <w:rPr>
          <w:b/>
          <w:bCs/>
        </w:rPr>
        <w:t>高标准建设省实验室。</w:t>
      </w:r>
      <w:r>
        <w:t>依托中科院</w:t>
      </w:r>
      <w:r>
        <w:rPr>
          <w:rFonts w:hint="eastAsia"/>
        </w:rPr>
        <w:t>“</w:t>
      </w:r>
      <w:r>
        <w:t>两大科学装置</w:t>
      </w:r>
      <w:r>
        <w:rPr>
          <w:rFonts w:hint="eastAsia"/>
        </w:rPr>
        <w:t>”</w:t>
      </w:r>
      <w:r>
        <w:t>，加快建设先进能源科学与技术广东省实验室（东江实验室），开展先进核能与核技术、石化能源、多能互补及新型储能领域研究及应用，争取纳入国家实验室建设。以东江实验室科研任务为引导，力促南方电网、中广核等研究分院带成果、成建制落户惠州。</w:t>
      </w:r>
    </w:p>
    <w:p>
      <w:pPr>
        <w:overflowPunct w:val="0"/>
        <w:spacing w:line="600" w:lineRule="exact"/>
        <w:ind w:firstLine="640"/>
      </w:pPr>
    </w:p>
    <w:p>
      <w:pPr>
        <w:pStyle w:val="5"/>
        <w:overflowPunct w:val="0"/>
        <w:spacing w:line="600" w:lineRule="exact"/>
      </w:pPr>
      <w:bookmarkStart w:id="40" w:name="_Toc7196"/>
      <w:bookmarkStart w:id="41" w:name="_Toc2157"/>
      <w:bookmarkStart w:id="42" w:name="_Toc6568"/>
      <w:bookmarkStart w:id="43" w:name="_Toc1308"/>
      <w:r>
        <w:t>第二节  培育壮大创新主体</w:t>
      </w:r>
      <w:bookmarkEnd w:id="40"/>
      <w:bookmarkEnd w:id="41"/>
      <w:bookmarkEnd w:id="42"/>
      <w:bookmarkEnd w:id="43"/>
    </w:p>
    <w:p>
      <w:pPr>
        <w:overflowPunct w:val="0"/>
        <w:spacing w:line="600" w:lineRule="exact"/>
        <w:ind w:firstLine="643"/>
      </w:pPr>
      <w:r>
        <w:rPr>
          <w:b/>
          <w:bCs/>
        </w:rPr>
        <w:t>搭建高水平技术创新平台。</w:t>
      </w:r>
      <w:r>
        <w:t>坚持市场化运行机制，鼓励政府、科研机构和企业共建政产学研一体化的新型研发机构，鼓励大中型工业骨干企业普遍建立工程技术研究中心、企业技术中心、重点实验室等研发机构。推动新一代工业互联网创新研究院、德赛西威研究院、惠州市绿色能源与新材料研究院建设，谋划建设南方电网科学研究院分支机构、中广核研究院惠州分院等重大创新平台。</w:t>
      </w:r>
    </w:p>
    <w:p>
      <w:pPr>
        <w:overflowPunct w:val="0"/>
        <w:spacing w:line="600" w:lineRule="exact"/>
        <w:ind w:firstLine="643"/>
      </w:pPr>
      <w:r>
        <w:rPr>
          <w:b/>
          <w:bCs/>
        </w:rPr>
        <w:t>培育创新型企业集群。</w:t>
      </w:r>
      <w:r>
        <w:t>完善高质量发展高新技术企业政策，</w:t>
      </w:r>
      <w:r>
        <w:rPr>
          <w:spacing w:val="4"/>
        </w:rPr>
        <w:t>大力引进和培育高新技术企业，到2025年国家高新技术企业超过3000家。持续推动高新技术企业</w:t>
      </w:r>
      <w:r>
        <w:rPr>
          <w:rFonts w:hint="eastAsia"/>
          <w:spacing w:val="4"/>
        </w:rPr>
        <w:t>“</w:t>
      </w:r>
      <w:r>
        <w:rPr>
          <w:spacing w:val="4"/>
        </w:rPr>
        <w:t>树标提质</w:t>
      </w:r>
      <w:r>
        <w:rPr>
          <w:rFonts w:hint="eastAsia"/>
          <w:spacing w:val="4"/>
        </w:rPr>
        <w:t>”</w:t>
      </w:r>
      <w:r>
        <w:rPr>
          <w:spacing w:val="4"/>
        </w:rPr>
        <w:t>，培育一批拥</w:t>
      </w:r>
      <w:r>
        <w:t>有自主知识产权的高成长性企业、细分领域领军企业。建立全市</w:t>
      </w:r>
      <w:r>
        <w:rPr>
          <w:rFonts w:hint="eastAsia"/>
        </w:rPr>
        <w:t>“</w:t>
      </w:r>
      <w:r>
        <w:t>专精特新</w:t>
      </w:r>
      <w:r>
        <w:rPr>
          <w:rFonts w:hint="eastAsia"/>
        </w:rPr>
        <w:t>”</w:t>
      </w:r>
      <w:r>
        <w:t>中小微企业培育库，加大对科技型中小企业普惠性支持力度，推动更多科技型中小企业增效益、上规模，打造一批行业</w:t>
      </w:r>
      <w:r>
        <w:rPr>
          <w:rFonts w:hint="eastAsia"/>
        </w:rPr>
        <w:t>“</w:t>
      </w:r>
      <w:r>
        <w:t>单项冠军</w:t>
      </w:r>
      <w:r>
        <w:rPr>
          <w:rFonts w:hint="eastAsia"/>
        </w:rPr>
        <w:t>”“</w:t>
      </w:r>
      <w:r>
        <w:t>隐形冠军</w:t>
      </w:r>
      <w:r>
        <w:rPr>
          <w:rFonts w:hint="eastAsia"/>
        </w:rPr>
        <w:t>”“</w:t>
      </w:r>
      <w:r>
        <w:t>独角兽</w:t>
      </w:r>
      <w:r>
        <w:rPr>
          <w:rFonts w:hint="eastAsia"/>
        </w:rPr>
        <w:t>”</w:t>
      </w:r>
      <w:r>
        <w:t>。</w:t>
      </w:r>
    </w:p>
    <w:p>
      <w:pPr>
        <w:overflowPunct w:val="0"/>
        <w:spacing w:line="600" w:lineRule="exact"/>
        <w:ind w:firstLine="643"/>
      </w:pPr>
      <w:r>
        <w:rPr>
          <w:b/>
          <w:bCs/>
        </w:rPr>
        <w:t>完善孵化育成体系。</w:t>
      </w:r>
      <w:r>
        <w:t>围绕壮大优势主导产业集群，在优势特色产业园区布局建设国家和省级孵化器，引进高水平机构投资运营，探索推广渐进式创新，鼓励支持颠覆式创新，构建</w:t>
      </w:r>
      <w:r>
        <w:rPr>
          <w:rFonts w:hint="eastAsia"/>
        </w:rPr>
        <w:t>“</w:t>
      </w:r>
      <w:r>
        <w:t>众创空间—孵化器—加速器—科技产业园区</w:t>
      </w:r>
      <w:r>
        <w:rPr>
          <w:rFonts w:hint="eastAsia"/>
        </w:rPr>
        <w:t>”</w:t>
      </w:r>
      <w:r>
        <w:t>全链条全要素专业孵化园。支持龙头企业建立科技企业孵化器，谋划在海外发达国家和香港、深圳等创新资源集中地区新建异地孵化器。丰富发展供应链金融、知识产权质押、信用贷款等服务孵化的金融工具。力争到2025年，省级及以上科技企业孵化载体达20家。</w:t>
      </w:r>
    </w:p>
    <w:p>
      <w:pPr>
        <w:overflowPunct w:val="0"/>
        <w:spacing w:line="600" w:lineRule="exact"/>
        <w:ind w:firstLine="640"/>
      </w:pPr>
    </w:p>
    <w:p>
      <w:pPr>
        <w:pStyle w:val="5"/>
        <w:overflowPunct w:val="0"/>
        <w:spacing w:line="600" w:lineRule="exact"/>
      </w:pPr>
      <w:bookmarkStart w:id="44" w:name="_Toc3874"/>
      <w:bookmarkStart w:id="45" w:name="_Toc969"/>
      <w:bookmarkStart w:id="46" w:name="_Toc7213"/>
      <w:bookmarkStart w:id="47" w:name="_Toc11812"/>
      <w:r>
        <w:t>第三节  加强</w:t>
      </w:r>
      <w:r>
        <w:rPr>
          <w:rFonts w:hint="eastAsia"/>
        </w:rPr>
        <w:t>产业</w:t>
      </w:r>
      <w:r>
        <w:t>关键核心技术攻</w:t>
      </w:r>
      <w:r>
        <w:rPr>
          <w:rFonts w:hint="eastAsia"/>
        </w:rPr>
        <w:t>关</w:t>
      </w:r>
      <w:bookmarkEnd w:id="44"/>
      <w:bookmarkEnd w:id="45"/>
      <w:bookmarkEnd w:id="46"/>
      <w:bookmarkEnd w:id="47"/>
    </w:p>
    <w:p>
      <w:pPr>
        <w:overflowPunct w:val="0"/>
        <w:spacing w:line="600" w:lineRule="exact"/>
        <w:ind w:firstLine="643"/>
      </w:pPr>
      <w:r>
        <w:rPr>
          <w:b/>
          <w:bCs/>
        </w:rPr>
        <w:t>提升优势主导产业核心竞争力。</w:t>
      </w:r>
      <w:r>
        <w:t>实施重点领域科技专项，加快在新能源、新材料、关键电子元器件、超高清显示等关键领域开展技术攻关，在人工智能、</w:t>
      </w:r>
      <w:r>
        <w:rPr>
          <w:rFonts w:hint="eastAsia"/>
        </w:rPr>
        <w:t>核技术应用</w:t>
      </w:r>
      <w:r>
        <w:t>、生物医药等未来关键领域抢占先机、开展研发布局。健全科技攻坚机制，强化国家、省和市协同，探索建立关键核心技术攻</w:t>
      </w:r>
      <w:r>
        <w:rPr>
          <w:rFonts w:hint="eastAsia"/>
        </w:rPr>
        <w:t>关</w:t>
      </w:r>
      <w:r>
        <w:t>的体制机制，组织实施或广泛征集一批具有代表性的关键核心技术攻</w:t>
      </w:r>
      <w:r>
        <w:rPr>
          <w:rFonts w:hint="eastAsia"/>
        </w:rPr>
        <w:t>关</w:t>
      </w:r>
      <w:r>
        <w:t>项目，实行</w:t>
      </w:r>
      <w:r>
        <w:rPr>
          <w:rFonts w:hint="eastAsia"/>
        </w:rPr>
        <w:t>“</w:t>
      </w:r>
      <w:r>
        <w:t>揭榜挂帅</w:t>
      </w:r>
      <w:r>
        <w:rPr>
          <w:rFonts w:hint="eastAsia"/>
        </w:rPr>
        <w:t>”</w:t>
      </w:r>
      <w:r>
        <w:t>等制度，撬动高校、科研机构、企业、社会资本多方发力投向技术研发。</w:t>
      </w:r>
    </w:p>
    <w:p>
      <w:pPr>
        <w:overflowPunct w:val="0"/>
        <w:spacing w:line="600" w:lineRule="exact"/>
        <w:ind w:firstLine="643"/>
      </w:pPr>
      <w:r>
        <w:rPr>
          <w:b/>
          <w:bCs/>
        </w:rPr>
        <w:t>提升高校院所科研攻坚能力。</w:t>
      </w:r>
      <w:r>
        <w:t>推动惠州学院进一步优化现有学科及专业结构，推进前沿学科、新兴交叉学科建设，建设高水平应用型大学。支持惠州学院与国内外一流大学、科研院所、知名企业合作，探索建立协同创新模式。争取省直有关部门在惠州学院建设省市共建重点实验室、工程技术研究中心</w:t>
      </w:r>
      <w:r>
        <w:rPr>
          <w:rFonts w:hint="eastAsia"/>
        </w:rPr>
        <w:t>、</w:t>
      </w:r>
      <w:r>
        <w:t>大学科技园或特色学院等创新平台，积极开展应用基础研究。探</w:t>
      </w:r>
      <w:r>
        <w:rPr>
          <w:spacing w:val="4"/>
        </w:rPr>
        <w:t>索创办虚拟大学园，大力吸引国内外知名高校、科研院所带创新</w:t>
      </w:r>
      <w:r>
        <w:t>团队和创新成果进驻惠州。</w:t>
      </w:r>
    </w:p>
    <w:p>
      <w:pPr>
        <w:overflowPunct w:val="0"/>
        <w:spacing w:line="600" w:lineRule="exact"/>
        <w:ind w:firstLine="643"/>
      </w:pPr>
      <w:r>
        <w:rPr>
          <w:b/>
          <w:bCs/>
        </w:rPr>
        <w:t>强化企业创新主体地位。</w:t>
      </w:r>
      <w:r>
        <w:t>完善以企业为主体、市场为导向、产学研深度融合的技术创新体系，促进各类创新要素向企业集聚。制定分类分行业创新支持政策，优化实施财税金融政策，鼓励企业加大技术研发投入，支持有条件的企业开展</w:t>
      </w:r>
      <w:r>
        <w:rPr>
          <w:rFonts w:hint="eastAsia"/>
        </w:rPr>
        <w:t>基础研究和应用基础研究</w:t>
      </w:r>
      <w:r>
        <w:t>。支持规模以上工业企业普遍建设研发机构，大力引进创新团队、推进高新技术产业化示范和科技成果集成应用。支持企业牵头组建创新联合体，承担重大科技项目。</w:t>
      </w:r>
    </w:p>
    <w:p>
      <w:pPr>
        <w:overflowPunct w:val="0"/>
        <w:spacing w:line="600" w:lineRule="exact"/>
        <w:ind w:firstLine="640"/>
      </w:pPr>
    </w:p>
    <w:p>
      <w:pPr>
        <w:pStyle w:val="5"/>
        <w:overflowPunct w:val="0"/>
        <w:spacing w:line="600" w:lineRule="exact"/>
      </w:pPr>
      <w:bookmarkStart w:id="48" w:name="_Toc12464"/>
      <w:bookmarkStart w:id="49" w:name="_Toc22294"/>
      <w:bookmarkStart w:id="50" w:name="_Toc5808"/>
      <w:bookmarkStart w:id="51" w:name="_Toc6933"/>
      <w:r>
        <w:t xml:space="preserve">第四节 </w:t>
      </w:r>
      <w:r>
        <w:rPr>
          <w:rFonts w:hint="eastAsia"/>
        </w:rPr>
        <w:t xml:space="preserve"> 加速</w:t>
      </w:r>
      <w:r>
        <w:t>创新成果转化应用</w:t>
      </w:r>
      <w:bookmarkEnd w:id="48"/>
      <w:bookmarkEnd w:id="49"/>
      <w:bookmarkEnd w:id="50"/>
      <w:bookmarkEnd w:id="51"/>
    </w:p>
    <w:p>
      <w:pPr>
        <w:overflowPunct w:val="0"/>
        <w:spacing w:line="600" w:lineRule="exact"/>
        <w:ind w:firstLine="643"/>
      </w:pPr>
      <w:r>
        <w:rPr>
          <w:b/>
          <w:bCs/>
        </w:rPr>
        <w:t>推动知识产权提质增量。</w:t>
      </w:r>
      <w:r>
        <w:t>实施最严格的知识产权保护制度，强化知识产权全链条保护，健全行政执法、司法保护、仲裁调解、维权援助、行业自律等产权纠纷多元化解决机制。高标准建设国家知识产权示范市，提前布局培育高价值专利，完善知识产权政策。推动优质知识产权平台在惠设立服务机构，争取设立国家级知识产权保护</w:t>
      </w:r>
      <w:r>
        <w:rPr>
          <w:rFonts w:hint="eastAsia"/>
        </w:rPr>
        <w:t>平台</w:t>
      </w:r>
      <w:r>
        <w:t>。建立企业知识产权特派员制度，设立专利服务工作站。争取开展知识产权证券化试点，完善知识产权质押融资风险补偿政策。推动与港澳知识产权互认互通。建立完善知识产权巡回法庭，积极</w:t>
      </w:r>
      <w:r>
        <w:rPr>
          <w:spacing w:val="4"/>
        </w:rPr>
        <w:t>稳妥推进知识产权审判</w:t>
      </w:r>
      <w:r>
        <w:rPr>
          <w:rFonts w:hint="eastAsia"/>
          <w:spacing w:val="4"/>
        </w:rPr>
        <w:t>“</w:t>
      </w:r>
      <w:r>
        <w:rPr>
          <w:spacing w:val="4"/>
        </w:rPr>
        <w:t>三审合一</w:t>
      </w:r>
      <w:r>
        <w:rPr>
          <w:rFonts w:hint="eastAsia"/>
          <w:spacing w:val="4"/>
        </w:rPr>
        <w:t>”</w:t>
      </w:r>
      <w:r>
        <w:rPr>
          <w:spacing w:val="4"/>
        </w:rPr>
        <w:t>改革。力争到2025年，每</w:t>
      </w:r>
      <w:r>
        <w:t>万人口拥有高质量发明专利数量达10.8件。</w:t>
      </w:r>
    </w:p>
    <w:p>
      <w:pPr>
        <w:overflowPunct w:val="0"/>
        <w:spacing w:line="600" w:lineRule="exact"/>
        <w:ind w:firstLine="643"/>
      </w:pPr>
      <w:r>
        <w:rPr>
          <w:b/>
          <w:bCs/>
        </w:rPr>
        <w:t>促进创新成果转化。</w:t>
      </w:r>
      <w:r>
        <w:t>推进珠三角（惠州）国家科技成果转移转化示范区建设，打通产学研创新链、产业链、价值链。积极参与广深港澳科技创新走廊建设，争取国家和省重大科技成果在惠开展延展性研究、产业化应用与转化落地，打造粤港澳大湾区创新成果产业化高地。以头部企业为引领，吸纳产业链上下游企业，联合高校、科研院所开展产学研用合作。规划建设东江实验室成果转化产业园区，加快</w:t>
      </w:r>
      <w:r>
        <w:rPr>
          <w:rFonts w:hint="eastAsia"/>
        </w:rPr>
        <w:t>超导加速器、</w:t>
      </w:r>
      <w:r>
        <w:t>重离子微孔膜、重离子治癌装置、辐照育种等成果落地转化及产业化。实施技术转移机构和技术经理人备案制度，培育技术交易平台和技术合同认定登记点。加快建设军民融合创新体系。</w:t>
      </w:r>
    </w:p>
    <w:p>
      <w:pPr>
        <w:overflowPunct w:val="0"/>
        <w:spacing w:line="600" w:lineRule="exact"/>
        <w:ind w:firstLine="640"/>
      </w:pPr>
    </w:p>
    <w:p>
      <w:pPr>
        <w:pStyle w:val="5"/>
        <w:overflowPunct w:val="0"/>
        <w:spacing w:line="600" w:lineRule="exact"/>
      </w:pPr>
      <w:bookmarkStart w:id="52" w:name="_Toc26209"/>
      <w:bookmarkStart w:id="53" w:name="_Toc5071"/>
      <w:bookmarkStart w:id="54" w:name="_Toc9540"/>
      <w:bookmarkStart w:id="55" w:name="_Toc17747"/>
      <w:r>
        <w:t>第</w:t>
      </w:r>
      <w:r>
        <w:rPr>
          <w:rFonts w:hint="eastAsia"/>
        </w:rPr>
        <w:t>五</w:t>
      </w:r>
      <w:r>
        <w:t>节  优化创新生态环境</w:t>
      </w:r>
      <w:bookmarkEnd w:id="52"/>
      <w:bookmarkEnd w:id="53"/>
      <w:bookmarkEnd w:id="54"/>
      <w:bookmarkEnd w:id="55"/>
    </w:p>
    <w:p>
      <w:pPr>
        <w:overflowPunct w:val="0"/>
        <w:spacing w:line="600" w:lineRule="exact"/>
        <w:ind w:firstLine="643"/>
      </w:pPr>
      <w:r>
        <w:rPr>
          <w:b/>
          <w:bCs/>
        </w:rPr>
        <w:t>深化创新体制机制改革。</w:t>
      </w:r>
      <w:r>
        <w:t>加快完善科技创新治理体系，突出重大任务的总体设计和系统部署，围绕产业链部署创新链、围绕创新链完善资金链。加快科技管理职能转变，完善科技规划、运行、评级、奖励机制，充分释放各类主体的创新活力。改进科技项目组织管理方式，优化整合各类科技计划（专项），推</w:t>
      </w:r>
      <w:r>
        <w:rPr>
          <w:rFonts w:hint="eastAsia"/>
        </w:rPr>
        <w:t>行</w:t>
      </w:r>
      <w:r>
        <w:t>项目攻关</w:t>
      </w:r>
      <w:r>
        <w:rPr>
          <w:rFonts w:hint="eastAsia"/>
        </w:rPr>
        <w:t>“</w:t>
      </w:r>
      <w:r>
        <w:t>揭榜挂帅制</w:t>
      </w:r>
      <w:r>
        <w:rPr>
          <w:rFonts w:hint="eastAsia"/>
        </w:rPr>
        <w:t>”</w:t>
      </w:r>
      <w:r>
        <w:t>、项目评审</w:t>
      </w:r>
      <w:r>
        <w:rPr>
          <w:rFonts w:hint="eastAsia"/>
        </w:rPr>
        <w:t>“</w:t>
      </w:r>
      <w:r>
        <w:t>主审制</w:t>
      </w:r>
      <w:r>
        <w:rPr>
          <w:rFonts w:hint="eastAsia"/>
        </w:rPr>
        <w:t>”</w:t>
      </w:r>
      <w:r>
        <w:t>、项目经费</w:t>
      </w:r>
      <w:r>
        <w:rPr>
          <w:rFonts w:hint="eastAsia"/>
        </w:rPr>
        <w:t>“</w:t>
      </w:r>
      <w:r>
        <w:t>包干制</w:t>
      </w:r>
      <w:r>
        <w:rPr>
          <w:rFonts w:hint="eastAsia"/>
        </w:rPr>
        <w:t>”</w:t>
      </w:r>
      <w:r>
        <w:t>等新型科研组织新模式。实施项目评审、人才评价、机构评估</w:t>
      </w:r>
      <w:r>
        <w:rPr>
          <w:rFonts w:hint="eastAsia"/>
        </w:rPr>
        <w:t>“</w:t>
      </w:r>
      <w:r>
        <w:t>三评</w:t>
      </w:r>
      <w:r>
        <w:rPr>
          <w:rFonts w:hint="eastAsia"/>
        </w:rPr>
        <w:t>”</w:t>
      </w:r>
      <w:r>
        <w:t>联动改革，破除</w:t>
      </w:r>
      <w:r>
        <w:rPr>
          <w:rFonts w:hint="eastAsia"/>
        </w:rPr>
        <w:t>“</w:t>
      </w:r>
      <w:r>
        <w:t>唯论文、唯职称、唯学历、唯奖项</w:t>
      </w:r>
      <w:r>
        <w:rPr>
          <w:rFonts w:hint="eastAsia"/>
        </w:rPr>
        <w:t>”</w:t>
      </w:r>
      <w:r>
        <w:t>倾向。健全创新激励和保障机制，加快形成充分体现创新要素价值的收益分配机制。强化基础研究系统布局，加快形成政府投入为主、社会多渠道投入机制。</w:t>
      </w:r>
      <w:r>
        <w:rPr>
          <w:rFonts w:hint="eastAsia"/>
        </w:rPr>
        <w:t>完善试错容错纠错机制，</w:t>
      </w:r>
      <w:r>
        <w:t>营造崇尚创新的社会氛围，弘扬科学精神。</w:t>
      </w:r>
    </w:p>
    <w:p>
      <w:pPr>
        <w:overflowPunct w:val="0"/>
        <w:spacing w:line="600" w:lineRule="exact"/>
        <w:ind w:firstLine="643"/>
      </w:pPr>
      <w:r>
        <w:rPr>
          <w:b/>
          <w:bCs/>
        </w:rPr>
        <w:t>建立融通创新服务体系。</w:t>
      </w:r>
      <w:r>
        <w:t>强化支持创新政策系统集成，补齐政策短板、疏通政策堵点，促进科技创新、实体经济、现代金融和人力资源的深度融合。突出市场需求导向，加强共性技术平台建设，以大企业为引领支撑，支持创新型中小微企业成为创新重要发源地，推动产业链上中下游、大中小企业融通创新。深入推进深圳都市圈创新协同，推动建立完善创新要素合理流动和高效集聚新模式和新机制，共建跨区域协同创新发展新格局。</w:t>
      </w:r>
    </w:p>
    <w:p>
      <w:pPr>
        <w:overflowPunct w:val="0"/>
        <w:spacing w:line="600" w:lineRule="exact"/>
        <w:ind w:firstLine="643"/>
      </w:pPr>
      <w:r>
        <w:rPr>
          <w:b/>
          <w:bCs/>
        </w:rPr>
        <w:t>集聚创新人才。</w:t>
      </w:r>
      <w:r>
        <w:t>优化</w:t>
      </w:r>
      <w:r>
        <w:rPr>
          <w:rFonts w:hint="eastAsia"/>
        </w:rPr>
        <w:t>“</w:t>
      </w:r>
      <w:r>
        <w:t>产业引才</w:t>
      </w:r>
      <w:r>
        <w:rPr>
          <w:rFonts w:hint="eastAsia"/>
        </w:rPr>
        <w:t>”“</w:t>
      </w:r>
      <w:r>
        <w:t>平台引才</w:t>
      </w:r>
      <w:r>
        <w:rPr>
          <w:rFonts w:hint="eastAsia"/>
        </w:rPr>
        <w:t>”“</w:t>
      </w:r>
      <w:r>
        <w:t>以才引才</w:t>
      </w:r>
      <w:r>
        <w:rPr>
          <w:rFonts w:hint="eastAsia"/>
        </w:rPr>
        <w:t>”</w:t>
      </w:r>
      <w:r>
        <w:t>机制，制定</w:t>
      </w:r>
      <w:r>
        <w:rPr>
          <w:rFonts w:hint="eastAsia"/>
        </w:rPr>
        <w:t>“</w:t>
      </w:r>
      <w:r>
        <w:t>1+N</w:t>
      </w:r>
      <w:r>
        <w:rPr>
          <w:rFonts w:hint="eastAsia"/>
        </w:rPr>
        <w:t>”</w:t>
      </w:r>
      <w:r>
        <w:t>一揽子人才工作政策，完善实施</w:t>
      </w:r>
      <w:r>
        <w:rPr>
          <w:rFonts w:hint="eastAsia"/>
        </w:rPr>
        <w:t>“</w:t>
      </w:r>
      <w:r>
        <w:t>惠</w:t>
      </w:r>
      <w:r>
        <w:rPr>
          <w:rFonts w:hint="eastAsia"/>
        </w:rPr>
        <w:t>”</w:t>
      </w:r>
      <w:r>
        <w:t>聚优才行动计划，打造人才生态环境优</w:t>
      </w:r>
      <w:r>
        <w:rPr>
          <w:rFonts w:hint="eastAsia"/>
        </w:rPr>
        <w:t>质</w:t>
      </w:r>
      <w:r>
        <w:t>城市。依托</w:t>
      </w:r>
      <w:r>
        <w:rPr>
          <w:rFonts w:hint="eastAsia"/>
        </w:rPr>
        <w:t>中科院“</w:t>
      </w:r>
      <w:r>
        <w:t>两大科学装置</w:t>
      </w:r>
      <w:r>
        <w:rPr>
          <w:rFonts w:hint="eastAsia"/>
        </w:rPr>
        <w:t>”</w:t>
      </w:r>
      <w:r>
        <w:t>、省实验室和新型研发机构等创新载体，积极引进一批国际一流的科技领军人才和创新团队，对急需的特殊人才或团队实施</w:t>
      </w:r>
      <w:r>
        <w:rPr>
          <w:rFonts w:hint="eastAsia"/>
        </w:rPr>
        <w:t>“</w:t>
      </w:r>
      <w:r>
        <w:t>一事一议</w:t>
      </w:r>
      <w:r>
        <w:rPr>
          <w:rFonts w:hint="eastAsia"/>
        </w:rPr>
        <w:t>”</w:t>
      </w:r>
      <w:r>
        <w:t>。优化完善大湾区境外高端人才和紧缺人才个人所得税优惠政策。加强人才综合服务保障体系建设，更加关心关爱人才成长，更好解决人才后顾之忧。加强高技能人才实训基地、技能大师工作室建设力度，弘扬工匠精神，壮大高水平工程师和高技能人才队伍。</w:t>
      </w:r>
    </w:p>
    <w:p>
      <w:pPr>
        <w:overflowPunct w:val="0"/>
        <w:spacing w:line="600" w:lineRule="exact"/>
        <w:ind w:firstLine="0" w:firstLineChars="0"/>
      </w:pPr>
      <w:r>
        <w:br w:type="page"/>
      </w:r>
    </w:p>
    <w:p>
      <w:pPr>
        <w:pStyle w:val="4"/>
        <w:overflowPunct w:val="0"/>
        <w:rPr>
          <w:rFonts w:ascii="方正小标宋_GBK" w:eastAsia="方正小标宋_GBK"/>
          <w:sz w:val="36"/>
          <w:szCs w:val="36"/>
        </w:rPr>
      </w:pPr>
      <w:bookmarkStart w:id="56" w:name="_Toc29704"/>
      <w:bookmarkStart w:id="57" w:name="_Toc6319"/>
      <w:bookmarkStart w:id="58" w:name="_Toc25363"/>
      <w:bookmarkStart w:id="59" w:name="_Toc30549"/>
      <w:r>
        <w:rPr>
          <w:rFonts w:hint="eastAsia" w:ascii="方正小标宋_GBK" w:eastAsia="方正小标宋_GBK"/>
          <w:sz w:val="36"/>
          <w:szCs w:val="36"/>
        </w:rPr>
        <w:t>第四章  推动实体经济高质量发展 构建更具竞争力的</w:t>
      </w:r>
      <w:r>
        <w:rPr>
          <w:rFonts w:ascii="方正小标宋_GBK" w:eastAsia="方正小标宋_GBK"/>
          <w:sz w:val="36"/>
          <w:szCs w:val="36"/>
        </w:rPr>
        <w:br w:type="textWrapping"/>
      </w:r>
      <w:r>
        <w:rPr>
          <w:rFonts w:hint="eastAsia" w:ascii="方正小标宋_GBK" w:eastAsia="方正小标宋_GBK"/>
          <w:sz w:val="36"/>
          <w:szCs w:val="36"/>
        </w:rPr>
        <w:t>现代产业体系</w:t>
      </w:r>
      <w:bookmarkEnd w:id="56"/>
      <w:bookmarkEnd w:id="57"/>
      <w:bookmarkEnd w:id="58"/>
      <w:bookmarkEnd w:id="59"/>
    </w:p>
    <w:p>
      <w:pPr>
        <w:overflowPunct w:val="0"/>
        <w:spacing w:line="600" w:lineRule="exact"/>
        <w:ind w:firstLine="640"/>
      </w:pPr>
    </w:p>
    <w:p>
      <w:pPr>
        <w:overflowPunct w:val="0"/>
        <w:spacing w:line="600" w:lineRule="exact"/>
        <w:ind w:firstLine="640"/>
      </w:pPr>
      <w:r>
        <w:t>坚持制造业强市不动摇，实施深度工业化战略，集中力量打造石化能源新材料、电子信息和生命健康</w:t>
      </w:r>
      <w:r>
        <w:rPr>
          <w:rFonts w:hint="eastAsia"/>
        </w:rPr>
        <w:t>“</w:t>
      </w:r>
      <w:r>
        <w:t>2+1</w:t>
      </w:r>
      <w:r>
        <w:rPr>
          <w:rFonts w:hint="eastAsia"/>
        </w:rPr>
        <w:t>”</w:t>
      </w:r>
      <w:r>
        <w:t>产业集群，加快推进先进制造业和现代服务业深度融合，不断提升产业基础高级化、产业链现代化水平。</w:t>
      </w:r>
    </w:p>
    <w:p>
      <w:pPr>
        <w:overflowPunct w:val="0"/>
        <w:spacing w:line="600" w:lineRule="exact"/>
        <w:ind w:firstLine="640"/>
      </w:pPr>
    </w:p>
    <w:p>
      <w:pPr>
        <w:pStyle w:val="5"/>
        <w:overflowPunct w:val="0"/>
        <w:spacing w:line="600" w:lineRule="exact"/>
      </w:pPr>
      <w:bookmarkStart w:id="60" w:name="_Toc14509"/>
      <w:bookmarkStart w:id="61" w:name="_Toc3782"/>
      <w:bookmarkStart w:id="62" w:name="_Toc8515"/>
      <w:bookmarkStart w:id="63" w:name="_Toc7615"/>
      <w:r>
        <w:t>第</w:t>
      </w:r>
      <w:r>
        <w:rPr>
          <w:rFonts w:hint="eastAsia"/>
        </w:rPr>
        <w:t>一</w:t>
      </w:r>
      <w:r>
        <w:t xml:space="preserve">节  </w:t>
      </w:r>
      <w:r>
        <w:rPr>
          <w:rFonts w:hint="eastAsia"/>
        </w:rPr>
        <w:t>重点</w:t>
      </w:r>
      <w:r>
        <w:t>打造</w:t>
      </w:r>
      <w:r>
        <w:rPr>
          <w:rFonts w:hint="eastAsia"/>
        </w:rPr>
        <w:t>“</w:t>
      </w:r>
      <w:r>
        <w:t>2+1</w:t>
      </w:r>
      <w:r>
        <w:rPr>
          <w:rFonts w:hint="eastAsia"/>
        </w:rPr>
        <w:t>”</w:t>
      </w:r>
      <w:r>
        <w:t>产业集群</w:t>
      </w:r>
      <w:bookmarkEnd w:id="60"/>
      <w:bookmarkEnd w:id="61"/>
      <w:bookmarkEnd w:id="62"/>
      <w:bookmarkEnd w:id="63"/>
    </w:p>
    <w:p>
      <w:pPr>
        <w:overflowPunct w:val="0"/>
        <w:spacing w:line="600" w:lineRule="exact"/>
        <w:ind w:firstLine="643"/>
      </w:pPr>
      <w:r>
        <w:rPr>
          <w:b/>
          <w:bCs/>
        </w:rPr>
        <w:t>推动石化能源新材料产业集群加快发展。</w:t>
      </w:r>
      <w:r>
        <w:t>全面提升大亚湾石化区发展水平，加快推进埃克森美孚惠州乙烯项目、中海壳牌惠州三期乙烯项目、恒力（惠州）PTA项目等建设，大力推进石化产业高端化、智慧化、绿色化发展，全力打好产业基础高级化攻</w:t>
      </w:r>
      <w:r>
        <w:rPr>
          <w:spacing w:val="4"/>
        </w:rPr>
        <w:t>坚战，力争到2025年基本建成世界级绿色石化产业基地。以延</w:t>
      </w:r>
      <w:r>
        <w:t>链、补链、强链为重点，加快推进惠州新材料产业园建设，重点发展先进有机原料和合成材料、新能源材料、电子化学品等，全力打好产业链现代化攻坚战，打造高端精细化工和新材料产业集群。壮大清洁能源、新能源产业，加快太平岭核电一期建设，推动二期机组核准开工，加快推进LNG接收站、丰达电厂二期等项目建设，推进港口海上风电投产，启动建设中洞抽水蓄能电站，因地制宜发展</w:t>
      </w:r>
      <w:r>
        <w:rPr>
          <w:rFonts w:hint="eastAsia"/>
        </w:rPr>
        <w:t>太阳能</w:t>
      </w:r>
      <w:r>
        <w:t>、地热</w:t>
      </w:r>
      <w:r>
        <w:rPr>
          <w:rFonts w:hint="eastAsia"/>
        </w:rPr>
        <w:t>能</w:t>
      </w:r>
      <w:r>
        <w:t>、生物质</w:t>
      </w:r>
      <w:r>
        <w:rPr>
          <w:rFonts w:hint="eastAsia"/>
        </w:rPr>
        <w:t>能</w:t>
      </w:r>
      <w:r>
        <w:t>、氢能等清洁能源。</w:t>
      </w:r>
    </w:p>
    <w:p>
      <w:pPr>
        <w:overflowPunct w:val="0"/>
        <w:spacing w:line="600" w:lineRule="exact"/>
        <w:ind w:firstLine="643"/>
      </w:pPr>
      <w:r>
        <w:rPr>
          <w:b/>
          <w:bCs/>
        </w:rPr>
        <w:t>做大做强电子信息产业集群。</w:t>
      </w:r>
      <w:r>
        <w:t>以智能终端、超高清视频、智能汽车电子三大主导产业为创新引领，以核心基础电子（新型LED、高端元器件、集成电路等）、新能源电池、人工智能三个高端新型产业为协同创新，以信息技术服务产业（大数据、云计算、软件等）为支撑融合，构筑高附加值、更具竞争力的电子信息产业集群。争取引领型、生态型企业在惠州设立区域性总部，引进供应链管理龙头企业落户，联动深莞打造具有世界级竞争力的电子信息产业基地。支持核心骨干企业研发和生产5G智能终端、网络基站、天线等核心零部件，建设全国5G泛智能终端和零配件制造基地。大力发展高端智能传感器、新型PCB及上游材料配套等高端元器件产业。持续做强超高清整机制造，拓展超高清视频应用增值服务，建设成为国家重要超高清视频显示产业基地。加强新能源电池研发生产和关键环节构建，以电芯为中心打通上下游，实现产品互相联结和配套，打造国内动力电池制造基地。加快软件信息服务业和互联网服务业发展，推动区块链技术应用。</w:t>
      </w:r>
    </w:p>
    <w:p>
      <w:pPr>
        <w:overflowPunct w:val="0"/>
        <w:spacing w:line="600" w:lineRule="exact"/>
        <w:ind w:firstLine="643"/>
      </w:pPr>
      <w:r>
        <w:rPr>
          <w:b/>
          <w:bCs/>
        </w:rPr>
        <w:t>培育壮大生命健康产业集群。</w:t>
      </w:r>
      <w:r>
        <w:t>坚持生命、生活、生态</w:t>
      </w:r>
      <w:r>
        <w:rPr>
          <w:rFonts w:hint="eastAsia"/>
        </w:rPr>
        <w:t>“</w:t>
      </w:r>
      <w:r>
        <w:t>三生</w:t>
      </w:r>
      <w:r>
        <w:rPr>
          <w:rFonts w:hint="eastAsia"/>
        </w:rPr>
        <w:t>”</w:t>
      </w:r>
      <w:r>
        <w:t>融合，充分挖掘</w:t>
      </w:r>
      <w:r>
        <w:rPr>
          <w:rFonts w:hint="eastAsia"/>
        </w:rPr>
        <w:t>惠州</w:t>
      </w:r>
      <w:r>
        <w:t>健康产业资源禀赋、大科学装置及实验室等优势，积极布局医药与健康产业专业园区，瞄准健康产业前沿科技和发展趋势，吸引国内外医药与健康龙头企业落户，打造粤港澳大湾区生命健康产业新高地。加强生命与健康领域关键技术和创新产品研发应用，深化</w:t>
      </w:r>
      <w:r>
        <w:rPr>
          <w:rFonts w:hint="eastAsia"/>
        </w:rPr>
        <w:t>“</w:t>
      </w:r>
      <w:r>
        <w:t>2+1</w:t>
      </w:r>
      <w:r>
        <w:rPr>
          <w:rFonts w:hint="eastAsia"/>
        </w:rPr>
        <w:t>”</w:t>
      </w:r>
      <w:r>
        <w:t>产业跨界融合、多元发展，提高健康产业科技竞争力，培育壮大新业态。优化健康产业空间布局，加快培育主城区健康服务创新核心区、罗浮山</w:t>
      </w:r>
      <w:r>
        <w:rPr>
          <w:rFonts w:hint="eastAsia"/>
        </w:rPr>
        <w:t>—</w:t>
      </w:r>
      <w:r>
        <w:t>南昆山中医药产业发展集聚区、仲恺</w:t>
      </w:r>
      <w:r>
        <w:rPr>
          <w:rFonts w:hint="eastAsia"/>
        </w:rPr>
        <w:t>—</w:t>
      </w:r>
      <w:r>
        <w:t>大亚湾医药智造融合发展集聚区以及北部绿色生态健康产业带、南部蓝色海洋健康产业带，重点发展现代中药、医疗器械、化学制药、生物医药、健康保健等产业，促进健康与旅游、养老、互联网、体育深度融合，建设区域中医医疗中心，打造</w:t>
      </w:r>
      <w:r>
        <w:rPr>
          <w:rFonts w:hint="eastAsia"/>
        </w:rPr>
        <w:t>“</w:t>
      </w:r>
      <w:r>
        <w:t>医、药、养、游</w:t>
      </w:r>
      <w:r>
        <w:rPr>
          <w:rFonts w:hint="eastAsia"/>
        </w:rPr>
        <w:t>”</w:t>
      </w:r>
      <w:r>
        <w:t>各业态耦合共生的健康产业集群。</w:t>
      </w:r>
    </w:p>
    <w:p>
      <w:pPr>
        <w:overflowPunct w:val="0"/>
        <w:spacing w:line="600" w:lineRule="exact"/>
        <w:ind w:firstLine="640"/>
      </w:pPr>
    </w:p>
    <w:p>
      <w:pPr>
        <w:pStyle w:val="5"/>
        <w:overflowPunct w:val="0"/>
        <w:spacing w:line="600" w:lineRule="exact"/>
      </w:pPr>
      <w:bookmarkStart w:id="64" w:name="_Toc17917"/>
      <w:bookmarkStart w:id="65" w:name="_Toc6603"/>
      <w:bookmarkStart w:id="66" w:name="_Toc12296"/>
      <w:bookmarkStart w:id="67" w:name="_Toc3588"/>
      <w:r>
        <w:t>第</w:t>
      </w:r>
      <w:r>
        <w:rPr>
          <w:rFonts w:hint="eastAsia"/>
        </w:rPr>
        <w:t>二</w:t>
      </w:r>
      <w:r>
        <w:t xml:space="preserve">节  </w:t>
      </w:r>
      <w:r>
        <w:rPr>
          <w:rFonts w:hint="eastAsia"/>
        </w:rPr>
        <w:t>加快培育壮大新兴产业</w:t>
      </w:r>
      <w:bookmarkEnd w:id="64"/>
      <w:bookmarkEnd w:id="65"/>
      <w:bookmarkEnd w:id="66"/>
      <w:bookmarkEnd w:id="67"/>
    </w:p>
    <w:p>
      <w:pPr>
        <w:overflowPunct w:val="0"/>
        <w:spacing w:line="600" w:lineRule="exact"/>
        <w:ind w:firstLine="643"/>
      </w:pPr>
      <w:r>
        <w:rPr>
          <w:b/>
          <w:bCs/>
        </w:rPr>
        <w:t>加快发展前沿新材料新能源产业。</w:t>
      </w:r>
      <w:r>
        <w:t>大力发展前沿新材料产业，加强材料产业跨界融合，重点发展电子新材料、高性能复合新材料、生物基可降解塑料等前沿新材料，形成新材料产业集群。加快发展新能源产业，大力推动先进核能开发应用，探索研究培育氢能、地热能、海洋能等新兴产业，打造新能源产业集群。</w:t>
      </w:r>
    </w:p>
    <w:p>
      <w:pPr>
        <w:overflowPunct w:val="0"/>
        <w:spacing w:line="600" w:lineRule="exact"/>
        <w:ind w:firstLine="643"/>
      </w:pPr>
      <w:r>
        <w:rPr>
          <w:b/>
          <w:bCs/>
        </w:rPr>
        <w:t>发展壮大先进装备制造业。</w:t>
      </w:r>
      <w:r>
        <w:t>加快惠州湾产业新城、惠阳智能制造产业园等建设，培育一批装备制造小巨人企业和细分领域</w:t>
      </w:r>
      <w:r>
        <w:rPr>
          <w:rFonts w:hint="eastAsia"/>
        </w:rPr>
        <w:t>“</w:t>
      </w:r>
      <w:r>
        <w:t>单项冠军</w:t>
      </w:r>
      <w:r>
        <w:rPr>
          <w:rFonts w:hint="eastAsia"/>
        </w:rPr>
        <w:t>”</w:t>
      </w:r>
      <w:r>
        <w:t>企业，重点发展工业机器人、服务机器人、特种机器人等产业。引导大型制造业企业利用自身优势开展由应用智能装备向生产智能装备拓展，支持一批装备制造企业向中高端迈进。充分利用好首台套政策，开展智能制造成套装备的集成创新和应用示范。</w:t>
      </w:r>
    </w:p>
    <w:p>
      <w:pPr>
        <w:overflowPunct w:val="0"/>
        <w:spacing w:line="600" w:lineRule="exact"/>
        <w:ind w:firstLine="643"/>
      </w:pPr>
      <w:r>
        <w:rPr>
          <w:b/>
          <w:bCs/>
        </w:rPr>
        <w:t>积极布局未来产业。</w:t>
      </w:r>
      <w:r>
        <w:t>按照国家和省关于未来产业的战略部署，结合惠州实际，重点谋划布局先进材料、人工智能、生命健康等领域具有重大引领带动作用的未来产业。紧盯行业新技术研发成果，积极引导关键技术在惠州转化落地，促进技术集成和商业模式创新，推动重点领域产品创新，积极培育未来产业新业态。在重点产业领域和产业链关键环节，着力招引一批国内外行业龙头企业、知名研发机构和创新服务机构。</w:t>
      </w:r>
    </w:p>
    <w:p>
      <w:pPr>
        <w:overflowPunct w:val="0"/>
        <w:spacing w:line="600" w:lineRule="exact"/>
        <w:ind w:firstLine="0" w:firstLineChars="0"/>
      </w:pPr>
    </w:p>
    <w:p>
      <w:pPr>
        <w:pStyle w:val="5"/>
        <w:overflowPunct w:val="0"/>
        <w:spacing w:line="600" w:lineRule="exact"/>
      </w:pPr>
      <w:bookmarkStart w:id="68" w:name="_Toc19617"/>
      <w:bookmarkStart w:id="69" w:name="_Toc2085"/>
      <w:bookmarkStart w:id="70" w:name="_Toc24630"/>
      <w:bookmarkStart w:id="71" w:name="_Toc2333"/>
      <w:bookmarkStart w:id="72" w:name="_第三节__大力建设海洋强市"/>
      <w:r>
        <w:rPr>
          <w:rFonts w:hint="eastAsia"/>
        </w:rPr>
        <w:t>第三节  积极推动海洋经济发展</w:t>
      </w:r>
      <w:bookmarkEnd w:id="68"/>
      <w:bookmarkEnd w:id="69"/>
      <w:bookmarkEnd w:id="70"/>
      <w:bookmarkEnd w:id="71"/>
    </w:p>
    <w:bookmarkEnd w:id="72"/>
    <w:p>
      <w:pPr>
        <w:overflowPunct w:val="0"/>
        <w:spacing w:line="600" w:lineRule="exact"/>
        <w:ind w:firstLine="643"/>
      </w:pPr>
      <w:r>
        <w:rPr>
          <w:b/>
          <w:bCs/>
        </w:rPr>
        <w:t>深入推进沿海经济带建设。</w:t>
      </w:r>
      <w:r>
        <w:t>充分发挥惠州海域广阔、海岸线长的优势，主动融入省海洋</w:t>
      </w:r>
      <w:r>
        <w:rPr>
          <w:rFonts w:hint="eastAsia"/>
        </w:rPr>
        <w:t>强省</w:t>
      </w:r>
      <w:r>
        <w:t>建设，积极参与深圳全球海洋中心城市建设，加强与周边地区海洋领域的交流合作，谋划建设一批海洋重大合作平台，推动在海洋资源开发、智慧海洋技术和装备等领域合作，打造深惠汕黄金海岸带。坚持陆海统筹、综合开发，优化环大亚湾空间功能布局，支持大亚湾开发区建设现代滨海城市，推动稔平半岛建设能源科技岛，坚持集中集约用海，促进海岛分类保护利用，引导海洋产业集聚发展。</w:t>
      </w:r>
    </w:p>
    <w:p>
      <w:pPr>
        <w:overflowPunct w:val="0"/>
        <w:spacing w:line="600" w:lineRule="exact"/>
        <w:ind w:firstLine="643"/>
      </w:pPr>
      <w:r>
        <w:rPr>
          <w:b/>
          <w:bCs/>
        </w:rPr>
        <w:t>推动海洋优势产业做大做强。</w:t>
      </w:r>
      <w:r>
        <w:t>加快石化产业集群建设，拓展延伸石油化工产业链，推动传统石化产业向新型绿色石化产业升级转变。推进先进核电技术研究，加快核技术成果落地转化。加强港口码头航道等基础设施建设，加快发展多式联运，做大做强海洋交通运输业。</w:t>
      </w:r>
      <w:r>
        <w:rPr>
          <w:rFonts w:hint="eastAsia"/>
        </w:rPr>
        <w:t>推进惠州渔港经济区建设</w:t>
      </w:r>
      <w:r>
        <w:t>，优化海水养殖结构和布局，高标准建设智能渔场、海洋牧场、深水网箱养殖基地</w:t>
      </w:r>
      <w:r>
        <w:rPr>
          <w:rFonts w:hint="eastAsia"/>
        </w:rPr>
        <w:t>，</w:t>
      </w:r>
      <w:r>
        <w:t>提高海产品加工能力。加强滨海旅游基础设施建设和服务能力提升，加快</w:t>
      </w:r>
      <w:r>
        <w:rPr>
          <w:rFonts w:hint="eastAsia"/>
        </w:rPr>
        <w:t>“</w:t>
      </w:r>
      <w:r>
        <w:t>海洋—海岛—海岸</w:t>
      </w:r>
      <w:r>
        <w:rPr>
          <w:rFonts w:hint="eastAsia"/>
        </w:rPr>
        <w:t>”</w:t>
      </w:r>
      <w:r>
        <w:t>旅游立体开发，打造国际化高品质的滨海旅游度假区。</w:t>
      </w:r>
    </w:p>
    <w:p>
      <w:pPr>
        <w:overflowPunct w:val="0"/>
        <w:spacing w:line="600" w:lineRule="exact"/>
        <w:ind w:firstLine="643"/>
      </w:pPr>
      <w:r>
        <w:rPr>
          <w:b/>
          <w:bCs/>
        </w:rPr>
        <w:t>培育发展海洋新兴产业。</w:t>
      </w:r>
      <w:r>
        <w:t>围绕</w:t>
      </w:r>
      <w:r>
        <w:rPr>
          <w:rFonts w:hint="eastAsia"/>
        </w:rPr>
        <w:t>“</w:t>
      </w:r>
      <w:r>
        <w:t>智慧海洋</w:t>
      </w:r>
      <w:r>
        <w:rPr>
          <w:rFonts w:hint="eastAsia"/>
        </w:rPr>
        <w:t>”</w:t>
      </w:r>
      <w:r>
        <w:t>建设，推进5G等新一代信息技术在海洋领域应用，大力发展海洋电子信息产业，支持大型电子信息企业向海洋领域拓展，重点发展海洋电子设备及系统，提升海洋电子设备和海洋工程装备电子设备研发制造水平。大力发展海洋清洁能源产业，推进海上风电机组向大容量、智能化、抗台风方向发展。大力发展海洋中药产品，积极发展海洋药物和生物制品。以服务国家战略需求为导向，培育和引进海洋高端装备制造业。培育发展天然气水合物产业。</w:t>
      </w:r>
    </w:p>
    <w:p>
      <w:pPr>
        <w:overflowPunct w:val="0"/>
        <w:spacing w:line="600" w:lineRule="exact"/>
        <w:ind w:firstLine="640"/>
      </w:pPr>
    </w:p>
    <w:p>
      <w:pPr>
        <w:pStyle w:val="5"/>
        <w:overflowPunct w:val="0"/>
        <w:spacing w:line="600" w:lineRule="exact"/>
      </w:pPr>
      <w:bookmarkStart w:id="73" w:name="_Toc26753"/>
      <w:bookmarkStart w:id="74" w:name="_Toc6613"/>
      <w:bookmarkStart w:id="75" w:name="_Toc16231"/>
      <w:bookmarkStart w:id="76" w:name="_Toc5355"/>
      <w:r>
        <w:t>第</w:t>
      </w:r>
      <w:r>
        <w:rPr>
          <w:rFonts w:hint="eastAsia"/>
        </w:rPr>
        <w:t>四</w:t>
      </w:r>
      <w:r>
        <w:t>节  加快推动传统优势产业转型升级</w:t>
      </w:r>
      <w:bookmarkEnd w:id="73"/>
      <w:bookmarkEnd w:id="74"/>
      <w:bookmarkEnd w:id="75"/>
      <w:bookmarkEnd w:id="76"/>
    </w:p>
    <w:p>
      <w:pPr>
        <w:overflowPunct w:val="0"/>
        <w:spacing w:line="600" w:lineRule="exact"/>
        <w:ind w:firstLine="643"/>
      </w:pPr>
      <w:r>
        <w:rPr>
          <w:b/>
          <w:bCs/>
        </w:rPr>
        <w:t>推动传统优势产业集聚融合发展。</w:t>
      </w:r>
      <w:r>
        <w:t>着力打造中国男装名城、中国休闲服装名镇、中国女鞋生产基地、智慧家居特色小镇等区域特色优势传统产业集聚区，引导纺织服装、女鞋、家具等传统产业空间集聚。充分发挥龙头骨干实体企业带动作用，鼓励中小微企业进入龙头骨干企业的供应网络，注重发展上下游配套，努力延伸产业链，形成</w:t>
      </w:r>
      <w:r>
        <w:rPr>
          <w:rFonts w:hint="eastAsia"/>
        </w:rPr>
        <w:t>“</w:t>
      </w:r>
      <w:r>
        <w:t>龙头+配套</w:t>
      </w:r>
      <w:r>
        <w:rPr>
          <w:rFonts w:hint="eastAsia"/>
        </w:rPr>
        <w:t>”</w:t>
      </w:r>
      <w:r>
        <w:t>的产业发展模式。</w:t>
      </w:r>
    </w:p>
    <w:p>
      <w:pPr>
        <w:overflowPunct w:val="0"/>
        <w:spacing w:line="600" w:lineRule="exact"/>
        <w:ind w:firstLine="643"/>
      </w:pPr>
      <w:r>
        <w:rPr>
          <w:b/>
          <w:bCs/>
        </w:rPr>
        <w:t>推进传统优势产业智能化创意化转型升级。</w:t>
      </w:r>
      <w:r>
        <w:t>推进互联网、大数据、人工智能与传统制造业深度融合，用足用好</w:t>
      </w:r>
      <w:r>
        <w:rPr>
          <w:rFonts w:hint="eastAsia"/>
        </w:rPr>
        <w:t>技术改造</w:t>
      </w:r>
      <w:r>
        <w:t>政策和资金，利用数字孪生技术改造提升传统产业，拓展大规模个性化定制、网络化协同制造、共享生产平台等模式，建设一批智能工厂、数字化车间、智能制造示范基地和示范项目，争创省特色产业集群数字化转型试点示范。推动产业链上下游企业</w:t>
      </w:r>
      <w:r>
        <w:rPr>
          <w:rFonts w:hint="eastAsia"/>
        </w:rPr>
        <w:t>“</w:t>
      </w:r>
      <w:r>
        <w:t>上云上平台</w:t>
      </w:r>
      <w:r>
        <w:rPr>
          <w:rFonts w:hint="eastAsia"/>
        </w:rPr>
        <w:t>”</w:t>
      </w:r>
      <w:r>
        <w:t>，开展特色产业集群产业链协同创新。引导研发设计、文化创意、电子商务等服务型企业以委托制造、品牌授权等方式向制造环节扩展，以研发创意提升传统产业附加值。</w:t>
      </w:r>
    </w:p>
    <w:p>
      <w:pPr>
        <w:overflowPunct w:val="0"/>
        <w:spacing w:line="600" w:lineRule="exact"/>
        <w:ind w:firstLine="643"/>
      </w:pPr>
      <w:r>
        <w:rPr>
          <w:b/>
          <w:bCs/>
        </w:rPr>
        <w:t>大力推广线上线下营销新模式。</w:t>
      </w:r>
      <w:r>
        <w:t>打通设计端、生产制造端与销售端链条，通过线上平台展示生产工艺流程，促进产品品牌形象塑造和在线引流销售。用好中国（惠州）跨境电子商务综合试验区平台，鼓励传统产业企业扩大先进生产技术进口，运用新业态新模式扩大优质产品出口。大力扶持企业设计开发生产小批量、个性化、高质量的产品，适应互联网时代消费者</w:t>
      </w:r>
      <w:r>
        <w:rPr>
          <w:rFonts w:hint="eastAsia"/>
        </w:rPr>
        <w:t>“</w:t>
      </w:r>
      <w:r>
        <w:t>短平快</w:t>
      </w:r>
      <w:r>
        <w:rPr>
          <w:rFonts w:hint="eastAsia"/>
        </w:rPr>
        <w:t>”</w:t>
      </w:r>
      <w:r>
        <w:t>的消费模式。</w:t>
      </w:r>
    </w:p>
    <w:p>
      <w:pPr>
        <w:overflowPunct w:val="0"/>
        <w:spacing w:line="600" w:lineRule="exact"/>
        <w:ind w:firstLine="640"/>
      </w:pPr>
    </w:p>
    <w:p>
      <w:pPr>
        <w:pStyle w:val="5"/>
        <w:overflowPunct w:val="0"/>
        <w:spacing w:line="600" w:lineRule="exact"/>
        <w:ind w:firstLine="643"/>
        <w:rPr>
          <w:rFonts w:ascii="Times New Roman" w:hAnsi="Times New Roman"/>
        </w:rPr>
      </w:pPr>
      <w:bookmarkStart w:id="77" w:name="_Toc12909"/>
      <w:bookmarkStart w:id="78" w:name="_Toc17469"/>
      <w:bookmarkStart w:id="79" w:name="_Toc20308"/>
      <w:bookmarkStart w:id="80" w:name="_Toc21862"/>
      <w:r>
        <w:t>第</w:t>
      </w:r>
      <w:r>
        <w:rPr>
          <w:rFonts w:hint="eastAsia"/>
        </w:rPr>
        <w:t>五</w:t>
      </w:r>
      <w:r>
        <w:t xml:space="preserve">节  </w:t>
      </w:r>
      <w:r>
        <w:rPr>
          <w:rFonts w:hint="eastAsia"/>
        </w:rPr>
        <w:t>促进</w:t>
      </w:r>
      <w:r>
        <w:t>现代服务业</w:t>
      </w:r>
      <w:r>
        <w:rPr>
          <w:rFonts w:hint="eastAsia"/>
        </w:rPr>
        <w:t>与制造业融合发展</w:t>
      </w:r>
      <w:bookmarkEnd w:id="77"/>
      <w:bookmarkEnd w:id="78"/>
      <w:bookmarkEnd w:id="79"/>
      <w:bookmarkEnd w:id="80"/>
    </w:p>
    <w:p>
      <w:pPr>
        <w:overflowPunct w:val="0"/>
        <w:spacing w:line="600" w:lineRule="exact"/>
        <w:ind w:firstLine="643"/>
      </w:pPr>
      <w:r>
        <w:rPr>
          <w:b/>
          <w:bCs/>
        </w:rPr>
        <w:t>推动现代金融服务业加快发展。</w:t>
      </w:r>
      <w:r>
        <w:t>支持各类商业银行健康发展，推动辖区农村商业银行改革发展。用好金融支持粤港澳大湾区建设有关政策，不断提高融资便利化水平。积极稳妥引进银行、证券、保险等金融机构来惠设立机构、开展业务，丰富机构组织新业态和服务产品多样化，建立企业融资需求与金融服务产品高效对接机制，发挥金融资源对产业发展的支撑和推动作用。大力发展普惠金融、</w:t>
      </w:r>
      <w:r>
        <w:rPr>
          <w:rFonts w:hint="eastAsia"/>
        </w:rPr>
        <w:t>绿色金融、</w:t>
      </w:r>
      <w:r>
        <w:t>科技金融、地方特色金融。引导银行设立科技支行，推进科技保险试点，打造科技金融创新发展示范区。支持仲恺高新区打造金融高质量发展核心区。积极稳妥防范化解金融风</w:t>
      </w:r>
      <w:r>
        <w:rPr>
          <w:spacing w:val="4"/>
        </w:rPr>
        <w:t>险，建设生态环境优良的金融安全区。到2025年金融业增</w:t>
      </w:r>
      <w:r>
        <w:t>加值占GDP比重达</w:t>
      </w:r>
      <w:r>
        <w:rPr>
          <w:rFonts w:hint="eastAsia"/>
        </w:rPr>
        <w:t>7</w:t>
      </w:r>
      <w:r>
        <w:t>%左右。</w:t>
      </w:r>
    </w:p>
    <w:p>
      <w:pPr>
        <w:overflowPunct w:val="0"/>
        <w:spacing w:line="600" w:lineRule="exact"/>
        <w:ind w:firstLine="643"/>
      </w:pPr>
      <w:r>
        <w:rPr>
          <w:b/>
          <w:bCs/>
        </w:rPr>
        <w:t>推动现代物流业发展壮大。</w:t>
      </w:r>
      <w:r>
        <w:t>编制</w:t>
      </w:r>
      <w:r>
        <w:rPr>
          <w:rFonts w:hint="eastAsia"/>
        </w:rPr>
        <w:t>现代流通体系物流产业发展规划</w:t>
      </w:r>
      <w:r>
        <w:t>，</w:t>
      </w:r>
      <w:r>
        <w:rPr>
          <w:rFonts w:hint="eastAsia"/>
        </w:rPr>
        <w:t>增强惠州</w:t>
      </w:r>
      <w:r>
        <w:t>物流枢纽中心</w:t>
      </w:r>
      <w:r>
        <w:rPr>
          <w:rFonts w:hint="eastAsia"/>
        </w:rPr>
        <w:t>功能</w:t>
      </w:r>
      <w:r>
        <w:t>。系统整合全市分散物流资源，提高区域内、跨区域物流活动规模化组织能力和效率。推进运输结构调整，大力发展铁水联运、公铁联运，畅通城市物流通道，促进物流降本增效。在惠州机场、惠州港、京九铁路（惠州段）科学布局现代物流集聚区，着力引进培育具有竞争力的现代供应链管理、物流服务企业。培育发展物流新平台新业态，积极发展跨境电商物流、农村电商物流、保税物流、冷链物流等。鼓励现有仓储、运输等传统物流企业功能整合和业务延伸向现代物流服务供应商、供应链集成商转变。加快粤港澳大湾区（广东·惠州）绿色农产品生产供应基地等项目建设，构建大湾区东部现代物流枢纽。大力发展管道运输，推进LNG接收站外输管线等油、气、冷、热管网建设。完善成品油流通体系布局，加快加油站、充电站（桩）建设。</w:t>
      </w:r>
    </w:p>
    <w:p>
      <w:pPr>
        <w:overflowPunct w:val="0"/>
        <w:spacing w:line="600" w:lineRule="exact"/>
        <w:ind w:firstLine="643"/>
      </w:pPr>
      <w:r>
        <w:rPr>
          <w:b/>
          <w:bCs/>
        </w:rPr>
        <w:t>加快生产性服务业发展。</w:t>
      </w:r>
      <w:r>
        <w:t>推动研发设计、金融服务、商贸流通、人力资源、会计、法律</w:t>
      </w:r>
      <w:r>
        <w:rPr>
          <w:rFonts w:hint="eastAsia"/>
        </w:rPr>
        <w:t>、工业设计、检验检测认证</w:t>
      </w:r>
      <w:r>
        <w:t>等生产性服务业专业化发展，促进现代服务业与先进制造业耦合共生、协同发展。结合金山新城及新会展中心等新城新平台建设，完善发展总部经济和会展经济政策，引进和培育知名度高、影响力大的总部企业和展会平台，做大做强总部经济，加快会展业发展。加强与广深港澳专业服务业合作，提升现代服务业发展水平。</w:t>
      </w:r>
    </w:p>
    <w:p>
      <w:pPr>
        <w:overflowPunct w:val="0"/>
        <w:spacing w:line="600" w:lineRule="exact"/>
        <w:ind w:firstLine="643"/>
      </w:pPr>
      <w:r>
        <w:rPr>
          <w:b/>
          <w:bCs/>
        </w:rPr>
        <w:t>培育发展服务业新业态。</w:t>
      </w:r>
      <w:r>
        <w:t>加快发展基于互联网的医疗健康、教育培训、养老家政、文旅、体育等新兴服务领域，推动现代新技术、新业态、新模式在服务业中的广泛应用，重点支持创意经济、平台经济、</w:t>
      </w:r>
      <w:r>
        <w:rPr>
          <w:rFonts w:hint="eastAsia"/>
        </w:rPr>
        <w:t>共</w:t>
      </w:r>
      <w:r>
        <w:t>享经济、体验经济发展。加快工业电子商务发展，加快推动制造业数字化、网络化。鼓励实体商业通过直播电子商务、社交营销开启</w:t>
      </w:r>
      <w:r>
        <w:rPr>
          <w:rFonts w:hint="eastAsia"/>
        </w:rPr>
        <w:t>“</w:t>
      </w:r>
      <w:r>
        <w:t>云逛街</w:t>
      </w:r>
      <w:r>
        <w:rPr>
          <w:rFonts w:hint="eastAsia"/>
        </w:rPr>
        <w:t>”</w:t>
      </w:r>
      <w:r>
        <w:t>等新模式，加快推广农产品</w:t>
      </w:r>
      <w:r>
        <w:rPr>
          <w:rFonts w:hint="eastAsia"/>
        </w:rPr>
        <w:t>“</w:t>
      </w:r>
      <w:r>
        <w:t>生鲜电子商务+冷链宅配</w:t>
      </w:r>
      <w:r>
        <w:rPr>
          <w:rFonts w:hint="eastAsia"/>
        </w:rPr>
        <w:t>”“</w:t>
      </w:r>
      <w:r>
        <w:t>中央厨房+食材冷链配送</w:t>
      </w:r>
      <w:r>
        <w:rPr>
          <w:rFonts w:hint="eastAsia"/>
        </w:rPr>
        <w:t>”</w:t>
      </w:r>
      <w:r>
        <w:t>等服务新模式。大力发展微经济，支持微商电商、网络直播等多样化创业就业，鼓励微创新、微应用、微产品、微电影等万众创新，引导</w:t>
      </w:r>
      <w:r>
        <w:rPr>
          <w:rFonts w:hint="eastAsia"/>
        </w:rPr>
        <w:t>“</w:t>
      </w:r>
      <w:r>
        <w:t>宅经济</w:t>
      </w:r>
      <w:r>
        <w:rPr>
          <w:rFonts w:hint="eastAsia"/>
        </w:rPr>
        <w:t>”</w:t>
      </w:r>
      <w:r>
        <w:t>合理发展。放宽服务业市场准入，探索包容审慎监管方式。</w:t>
      </w:r>
    </w:p>
    <w:p>
      <w:pPr>
        <w:overflowPunct w:val="0"/>
        <w:spacing w:line="600" w:lineRule="exact"/>
        <w:ind w:firstLine="640"/>
      </w:pPr>
    </w:p>
    <w:p>
      <w:pPr>
        <w:pStyle w:val="5"/>
        <w:overflowPunct w:val="0"/>
        <w:spacing w:line="600" w:lineRule="exact"/>
      </w:pPr>
      <w:bookmarkStart w:id="81" w:name="_Toc13615"/>
      <w:bookmarkStart w:id="82" w:name="_Toc11470"/>
      <w:bookmarkStart w:id="83" w:name="_Toc13932"/>
      <w:bookmarkStart w:id="84" w:name="_Toc6664"/>
      <w:r>
        <w:t>第</w:t>
      </w:r>
      <w:r>
        <w:rPr>
          <w:rFonts w:hint="eastAsia"/>
        </w:rPr>
        <w:t>六</w:t>
      </w:r>
      <w:r>
        <w:t>节  推</w:t>
      </w:r>
      <w:r>
        <w:rPr>
          <w:rFonts w:hint="eastAsia"/>
        </w:rPr>
        <w:t>进</w:t>
      </w:r>
      <w:r>
        <w:t>产业园区</w:t>
      </w:r>
      <w:r>
        <w:rPr>
          <w:rFonts w:hint="eastAsia"/>
        </w:rPr>
        <w:t>提质</w:t>
      </w:r>
      <w:r>
        <w:t>增效</w:t>
      </w:r>
      <w:bookmarkEnd w:id="81"/>
      <w:bookmarkEnd w:id="82"/>
      <w:bookmarkEnd w:id="83"/>
      <w:bookmarkEnd w:id="84"/>
    </w:p>
    <w:p>
      <w:pPr>
        <w:overflowPunct w:val="0"/>
        <w:spacing w:line="600" w:lineRule="exact"/>
        <w:ind w:firstLine="643"/>
      </w:pPr>
      <w:r>
        <w:rPr>
          <w:b/>
          <w:bCs/>
        </w:rPr>
        <w:t>聚力打造</w:t>
      </w:r>
      <w:r>
        <w:rPr>
          <w:rFonts w:hint="eastAsia"/>
          <w:b/>
          <w:bCs/>
        </w:rPr>
        <w:t>“</w:t>
      </w:r>
      <w:r>
        <w:rPr>
          <w:b/>
          <w:bCs/>
        </w:rPr>
        <w:t>3+7</w:t>
      </w:r>
      <w:r>
        <w:rPr>
          <w:rFonts w:hint="eastAsia"/>
          <w:b/>
          <w:bCs/>
        </w:rPr>
        <w:t>”工业</w:t>
      </w:r>
      <w:r>
        <w:rPr>
          <w:b/>
          <w:bCs/>
        </w:rPr>
        <w:t>园区。</w:t>
      </w:r>
      <w:r>
        <w:t>建设1号公路经济走廊，打造粤港澳大湾区重点增量发展空间。优化提升3个具有影响力和竞争力的国家级产业园区，推动大亚湾开发区</w:t>
      </w:r>
      <w:r>
        <w:rPr>
          <w:rFonts w:hint="eastAsia"/>
        </w:rPr>
        <w:t>、</w:t>
      </w:r>
      <w:r>
        <w:t>仲恺高新区争创国内一流开发区，努力把中韩（惠州）产业园建设成为全国对外开放发展新高地。聚力建设惠城高新科技产业园、惠阳（象岭）智慧科技产业园、惠州新材料产业园、博罗智能装备产业园、龙门大健康产业园、大亚湾新兴产业园、广东（仲恺）人工智能产业园等7个千亿级工业园区。按照用地集约、布局集中、企业集聚的原则，推动新签约工业项目一律入园发展，鼓励和引导园区外工业企业向重点园区集聚。加强园区联动发展，促进优势互补、资源共享。抓好园区基础设施和配套设施建设，完善园区公共服务体系，提升产城人融合发展水平。</w:t>
      </w:r>
    </w:p>
    <w:p>
      <w:pPr>
        <w:overflowPunct w:val="0"/>
        <w:spacing w:line="600" w:lineRule="exact"/>
        <w:ind w:firstLine="643"/>
      </w:pPr>
      <w:r>
        <w:rPr>
          <w:b/>
          <w:bCs/>
        </w:rPr>
        <w:t>促进各类产业园区集约高效发展。</w:t>
      </w:r>
      <w:r>
        <w:t>推动各类产业园区向专业园转型和创建国家级、省级产业园区，支持有条件的园区扩园扩区，推进空间布局优化和存量建设用地规模优化配置。学习推广先进地区村级工业园改造经验，加强村镇工业园统筹管理。提高产业用地容积率下限，原则上工业用地容积率不低于1.6，通用类研发用地容积率不低于2.5，提高单一用途产业用地的混合用地比例。加快处置闲置低效土地，严禁工业用地</w:t>
      </w:r>
      <w:r>
        <w:rPr>
          <w:rFonts w:hint="eastAsia"/>
        </w:rPr>
        <w:t>“</w:t>
      </w:r>
      <w:r>
        <w:t>囤地闲置</w:t>
      </w:r>
      <w:r>
        <w:rPr>
          <w:rFonts w:hint="eastAsia"/>
        </w:rPr>
        <w:t>”“</w:t>
      </w:r>
      <w:r>
        <w:t>倒买倒卖</w:t>
      </w:r>
      <w:r>
        <w:rPr>
          <w:rFonts w:hint="eastAsia"/>
        </w:rPr>
        <w:t>”</w:t>
      </w:r>
      <w:r>
        <w:t>行为。创新</w:t>
      </w:r>
      <w:r>
        <w:rPr>
          <w:rFonts w:hint="eastAsia"/>
        </w:rPr>
        <w:t>“</w:t>
      </w:r>
      <w:r>
        <w:t>一区多园</w:t>
      </w:r>
      <w:r>
        <w:rPr>
          <w:rFonts w:hint="eastAsia"/>
        </w:rPr>
        <w:t>”“</w:t>
      </w:r>
      <w:r>
        <w:t>飞地经济</w:t>
      </w:r>
      <w:r>
        <w:rPr>
          <w:rFonts w:hint="eastAsia"/>
        </w:rPr>
        <w:t>”</w:t>
      </w:r>
      <w:r>
        <w:t>等建园方式，推动不同开发区和产业集聚区的政策叠加、服务体系共建。规范有序推进特色小镇建设。</w:t>
      </w:r>
    </w:p>
    <w:p>
      <w:pPr>
        <w:overflowPunct w:val="0"/>
        <w:spacing w:line="600" w:lineRule="exact"/>
        <w:ind w:firstLine="643"/>
      </w:pPr>
      <w:r>
        <w:rPr>
          <w:b/>
          <w:bCs/>
        </w:rPr>
        <w:t>加快产业园区数字化改造。</w:t>
      </w:r>
      <w:r>
        <w:t>加大各级各类园区5G基站、工业互联网、智能网联汽车、智能电网等新型基础设施建设，带动新技术、新业态、新模式发展。围绕无人工厂、工业互联网、远程办公、在线文娱、在线展览展示、生鲜电商零售、</w:t>
      </w:r>
      <w:r>
        <w:rPr>
          <w:rFonts w:hint="eastAsia"/>
        </w:rPr>
        <w:t>“</w:t>
      </w:r>
      <w:r>
        <w:t>无接触</w:t>
      </w:r>
      <w:r>
        <w:rPr>
          <w:rFonts w:hint="eastAsia"/>
        </w:rPr>
        <w:t>”</w:t>
      </w:r>
      <w:r>
        <w:t>配送、新型移动出行、在线教育、在线医疗等新领域，加大招商引资和产业培育力度，加快各园区数字经济发展。建设跨越物理边界的产业园和产业集群，实现产业供需调配和精准对接。</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836"/>
        <w:gridCol w:w="1207"/>
        <w:gridCol w:w="2471"/>
        <w:gridCol w:w="1456"/>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54" w:type="dxa"/>
            <w:gridSpan w:val="6"/>
            <w:tcMar>
              <w:top w:w="227" w:type="dxa"/>
              <w:bottom w:w="227" w:type="dxa"/>
            </w:tcMar>
            <w:vAlign w:val="center"/>
          </w:tcPr>
          <w:p>
            <w:pPr>
              <w:pStyle w:val="26"/>
              <w:overflowPunct w:val="0"/>
              <w:spacing w:line="300" w:lineRule="exact"/>
              <w:rPr>
                <w:rFonts w:ascii="黑体" w:hAnsi="黑体" w:cs="黑体"/>
              </w:rPr>
            </w:pPr>
            <w:r>
              <w:t>专栏</w:t>
            </w:r>
            <w:r>
              <w:rPr>
                <w:rFonts w:hint="eastAsia"/>
              </w:rPr>
              <w:t>1</w:t>
            </w:r>
            <w:r>
              <w:t xml:space="preserve">  7个千亿级工业园区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pPr>
              <w:pStyle w:val="31"/>
              <w:overflowPunct w:val="0"/>
              <w:spacing w:line="300" w:lineRule="exact"/>
              <w:rPr>
                <w:rFonts w:ascii="黑体" w:hAnsi="黑体" w:eastAsia="黑体" w:cs="黑体"/>
              </w:rPr>
            </w:pPr>
            <w:r>
              <w:rPr>
                <w:rFonts w:hint="eastAsia" w:ascii="黑体" w:hAnsi="黑体" w:eastAsia="黑体" w:cs="黑体"/>
              </w:rPr>
              <w:t>县区</w:t>
            </w:r>
          </w:p>
        </w:tc>
        <w:tc>
          <w:tcPr>
            <w:tcW w:w="1836" w:type="dxa"/>
            <w:tcMar>
              <w:top w:w="227" w:type="dxa"/>
              <w:bottom w:w="227" w:type="dxa"/>
            </w:tcMar>
            <w:vAlign w:val="center"/>
          </w:tcPr>
          <w:p>
            <w:pPr>
              <w:pStyle w:val="31"/>
              <w:overflowPunct w:val="0"/>
              <w:spacing w:line="300" w:lineRule="exact"/>
              <w:rPr>
                <w:rFonts w:ascii="黑体" w:hAnsi="黑体" w:eastAsia="黑体" w:cs="黑体"/>
              </w:rPr>
            </w:pPr>
            <w:r>
              <w:rPr>
                <w:rFonts w:hint="eastAsia" w:ascii="黑体" w:hAnsi="黑体" w:eastAsia="黑体" w:cs="黑体"/>
              </w:rPr>
              <w:t>园区名称</w:t>
            </w:r>
          </w:p>
        </w:tc>
        <w:tc>
          <w:tcPr>
            <w:tcW w:w="1207" w:type="dxa"/>
            <w:tcMar>
              <w:top w:w="227" w:type="dxa"/>
              <w:bottom w:w="227" w:type="dxa"/>
            </w:tcMar>
            <w:vAlign w:val="center"/>
          </w:tcPr>
          <w:p>
            <w:pPr>
              <w:pStyle w:val="31"/>
              <w:overflowPunct w:val="0"/>
              <w:spacing w:line="300" w:lineRule="exact"/>
              <w:rPr>
                <w:rFonts w:ascii="黑体" w:hAnsi="黑体" w:eastAsia="黑体" w:cs="黑体"/>
              </w:rPr>
            </w:pPr>
            <w:r>
              <w:rPr>
                <w:rFonts w:hint="eastAsia" w:ascii="黑体" w:hAnsi="黑体" w:eastAsia="黑体" w:cs="黑体"/>
              </w:rPr>
              <w:t>园区位置</w:t>
            </w:r>
          </w:p>
        </w:tc>
        <w:tc>
          <w:tcPr>
            <w:tcW w:w="2471" w:type="dxa"/>
            <w:tcMar>
              <w:top w:w="227" w:type="dxa"/>
              <w:bottom w:w="227" w:type="dxa"/>
            </w:tcMar>
            <w:vAlign w:val="center"/>
          </w:tcPr>
          <w:p>
            <w:pPr>
              <w:pStyle w:val="31"/>
              <w:overflowPunct w:val="0"/>
              <w:spacing w:line="300" w:lineRule="exact"/>
              <w:rPr>
                <w:rFonts w:ascii="黑体" w:hAnsi="黑体" w:eastAsia="黑体" w:cs="黑体"/>
              </w:rPr>
            </w:pPr>
            <w:r>
              <w:rPr>
                <w:rFonts w:hint="eastAsia" w:ascii="黑体" w:hAnsi="黑体" w:eastAsia="黑体" w:cs="黑体"/>
              </w:rPr>
              <w:t>主导产业</w:t>
            </w:r>
          </w:p>
        </w:tc>
        <w:tc>
          <w:tcPr>
            <w:tcW w:w="1456" w:type="dxa"/>
            <w:tcMar>
              <w:top w:w="227" w:type="dxa"/>
              <w:bottom w:w="227" w:type="dxa"/>
            </w:tcMar>
            <w:vAlign w:val="center"/>
          </w:tcPr>
          <w:p>
            <w:pPr>
              <w:pStyle w:val="31"/>
              <w:overflowPunct w:val="0"/>
              <w:spacing w:line="300" w:lineRule="exact"/>
              <w:rPr>
                <w:rFonts w:ascii="黑体" w:hAnsi="黑体" w:eastAsia="黑体" w:cs="黑体"/>
              </w:rPr>
            </w:pPr>
            <w:r>
              <w:rPr>
                <w:rFonts w:hint="eastAsia" w:ascii="黑体" w:hAnsi="黑体" w:eastAsia="黑体" w:cs="黑体"/>
              </w:rPr>
              <w:t>园区面积</w:t>
            </w:r>
          </w:p>
          <w:p>
            <w:pPr>
              <w:pStyle w:val="31"/>
              <w:overflowPunct w:val="0"/>
              <w:spacing w:line="300" w:lineRule="exact"/>
              <w:rPr>
                <w:rFonts w:ascii="黑体" w:hAnsi="黑体" w:eastAsia="黑体" w:cs="黑体"/>
              </w:rPr>
            </w:pPr>
            <w:r>
              <w:rPr>
                <w:rFonts w:hint="eastAsia" w:ascii="黑体" w:hAnsi="黑体" w:eastAsia="黑体" w:cs="黑体"/>
                <w:sz w:val="22"/>
                <w:szCs w:val="22"/>
              </w:rPr>
              <w:t>（平方公里）</w:t>
            </w:r>
          </w:p>
        </w:tc>
        <w:tc>
          <w:tcPr>
            <w:tcW w:w="1439" w:type="dxa"/>
            <w:tcMar>
              <w:top w:w="227" w:type="dxa"/>
              <w:bottom w:w="227" w:type="dxa"/>
            </w:tcMar>
            <w:vAlign w:val="center"/>
          </w:tcPr>
          <w:p>
            <w:pPr>
              <w:pStyle w:val="31"/>
              <w:overflowPunct w:val="0"/>
              <w:spacing w:line="300" w:lineRule="exact"/>
              <w:rPr>
                <w:rFonts w:ascii="黑体" w:hAnsi="黑体" w:eastAsia="黑体" w:cs="黑体"/>
              </w:rPr>
            </w:pPr>
            <w:r>
              <w:rPr>
                <w:rFonts w:hint="eastAsia" w:ascii="黑体" w:hAnsi="黑体" w:eastAsia="黑体" w:cs="黑体"/>
              </w:rPr>
              <w:t>起步区面积</w:t>
            </w:r>
            <w:r>
              <w:rPr>
                <w:rFonts w:hint="eastAsia" w:ascii="黑体" w:hAnsi="黑体" w:eastAsia="黑体" w:cs="黑体"/>
                <w:sz w:val="22"/>
                <w:szCs w:val="22"/>
              </w:rPr>
              <w:t>（平方公里）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pPr>
              <w:pStyle w:val="31"/>
              <w:overflowPunct w:val="0"/>
              <w:spacing w:line="300" w:lineRule="exact"/>
              <w:rPr>
                <w:rFonts w:eastAsia="仿宋_GB2312"/>
              </w:rPr>
            </w:pPr>
            <w:r>
              <w:rPr>
                <w:rFonts w:eastAsia="仿宋_GB2312"/>
              </w:rPr>
              <w:t>惠城区</w:t>
            </w:r>
          </w:p>
        </w:tc>
        <w:tc>
          <w:tcPr>
            <w:tcW w:w="1836" w:type="dxa"/>
            <w:tcMar>
              <w:top w:w="227" w:type="dxa"/>
              <w:bottom w:w="227" w:type="dxa"/>
            </w:tcMar>
            <w:vAlign w:val="center"/>
          </w:tcPr>
          <w:p>
            <w:pPr>
              <w:pStyle w:val="31"/>
              <w:overflowPunct w:val="0"/>
              <w:spacing w:line="300" w:lineRule="exact"/>
              <w:rPr>
                <w:rFonts w:eastAsia="仿宋_GB2312"/>
              </w:rPr>
            </w:pPr>
            <w:r>
              <w:rPr>
                <w:rFonts w:eastAsia="仿宋_GB2312"/>
              </w:rPr>
              <w:t>惠城高新科技产业园</w:t>
            </w:r>
            <w:r>
              <w:rPr>
                <w:rFonts w:hint="eastAsia" w:eastAsia="仿宋_GB2312"/>
              </w:rPr>
              <w:t>（东江湾千亿级产业园）</w:t>
            </w:r>
          </w:p>
        </w:tc>
        <w:tc>
          <w:tcPr>
            <w:tcW w:w="1207" w:type="dxa"/>
            <w:tcMar>
              <w:top w:w="227" w:type="dxa"/>
              <w:bottom w:w="227" w:type="dxa"/>
            </w:tcMar>
            <w:vAlign w:val="center"/>
          </w:tcPr>
          <w:p>
            <w:pPr>
              <w:pStyle w:val="31"/>
              <w:overflowPunct w:val="0"/>
              <w:spacing w:line="300" w:lineRule="exact"/>
              <w:rPr>
                <w:rFonts w:eastAsia="仿宋_GB2312"/>
              </w:rPr>
            </w:pPr>
            <w:r>
              <w:rPr>
                <w:rFonts w:eastAsia="仿宋_GB2312"/>
              </w:rPr>
              <w:t>水口街道</w:t>
            </w:r>
          </w:p>
          <w:p>
            <w:pPr>
              <w:pStyle w:val="31"/>
              <w:overflowPunct w:val="0"/>
              <w:spacing w:line="300" w:lineRule="exact"/>
              <w:rPr>
                <w:rFonts w:eastAsia="仿宋_GB2312"/>
              </w:rPr>
            </w:pPr>
            <w:r>
              <w:rPr>
                <w:rFonts w:eastAsia="仿宋_GB2312"/>
              </w:rPr>
              <w:t>马安镇</w:t>
            </w:r>
          </w:p>
        </w:tc>
        <w:tc>
          <w:tcPr>
            <w:tcW w:w="2471" w:type="dxa"/>
            <w:tcMar>
              <w:top w:w="227" w:type="dxa"/>
              <w:bottom w:w="227" w:type="dxa"/>
            </w:tcMar>
            <w:vAlign w:val="center"/>
          </w:tcPr>
          <w:p>
            <w:pPr>
              <w:pStyle w:val="31"/>
              <w:overflowPunct w:val="0"/>
              <w:spacing w:line="300" w:lineRule="exact"/>
              <w:rPr>
                <w:rFonts w:eastAsia="仿宋_GB2312"/>
              </w:rPr>
            </w:pPr>
            <w:r>
              <w:rPr>
                <w:rFonts w:eastAsia="仿宋_GB2312"/>
              </w:rPr>
              <w:t>人工智能</w:t>
            </w:r>
            <w:r>
              <w:rPr>
                <w:rFonts w:hint="eastAsia" w:eastAsia="仿宋_GB2312"/>
              </w:rPr>
              <w:t>、</w:t>
            </w:r>
            <w:r>
              <w:rPr>
                <w:rFonts w:eastAsia="仿宋_GB2312"/>
              </w:rPr>
              <w:t>大数据、</w:t>
            </w:r>
            <w:r>
              <w:rPr>
                <w:rFonts w:hint="eastAsia" w:eastAsia="仿宋_GB2312"/>
              </w:rPr>
              <w:t>新能源、电子信息、装备制造</w:t>
            </w:r>
          </w:p>
        </w:tc>
        <w:tc>
          <w:tcPr>
            <w:tcW w:w="1456" w:type="dxa"/>
            <w:tcMar>
              <w:top w:w="227" w:type="dxa"/>
              <w:bottom w:w="227" w:type="dxa"/>
            </w:tcMar>
            <w:vAlign w:val="center"/>
          </w:tcPr>
          <w:p>
            <w:pPr>
              <w:pStyle w:val="31"/>
              <w:overflowPunct w:val="0"/>
              <w:spacing w:line="300" w:lineRule="exact"/>
              <w:rPr>
                <w:rFonts w:eastAsia="仿宋_GB2312"/>
              </w:rPr>
            </w:pPr>
            <w:r>
              <w:rPr>
                <w:rFonts w:eastAsia="仿宋_GB2312"/>
              </w:rPr>
              <w:t>30.0</w:t>
            </w:r>
          </w:p>
        </w:tc>
        <w:tc>
          <w:tcPr>
            <w:tcW w:w="1439" w:type="dxa"/>
            <w:tcMar>
              <w:top w:w="227" w:type="dxa"/>
              <w:bottom w:w="227" w:type="dxa"/>
            </w:tcMar>
            <w:vAlign w:val="center"/>
          </w:tcPr>
          <w:p>
            <w:pPr>
              <w:pStyle w:val="31"/>
              <w:overflowPunct w:val="0"/>
              <w:spacing w:line="300" w:lineRule="exact"/>
              <w:rPr>
                <w:rFonts w:eastAsia="仿宋_GB2312"/>
              </w:rPr>
            </w:pPr>
            <w:r>
              <w:rPr>
                <w:rFonts w:eastAsia="仿宋_GB2312"/>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pPr>
              <w:pStyle w:val="31"/>
              <w:overflowPunct w:val="0"/>
              <w:spacing w:line="300" w:lineRule="exact"/>
              <w:rPr>
                <w:rFonts w:eastAsia="仿宋_GB2312"/>
              </w:rPr>
            </w:pPr>
            <w:r>
              <w:rPr>
                <w:rFonts w:eastAsia="仿宋_GB2312"/>
              </w:rPr>
              <w:t>惠阳区</w:t>
            </w:r>
          </w:p>
        </w:tc>
        <w:tc>
          <w:tcPr>
            <w:tcW w:w="1836" w:type="dxa"/>
            <w:tcMar>
              <w:top w:w="227" w:type="dxa"/>
              <w:bottom w:w="227" w:type="dxa"/>
            </w:tcMar>
            <w:vAlign w:val="center"/>
          </w:tcPr>
          <w:p>
            <w:pPr>
              <w:pStyle w:val="31"/>
              <w:overflowPunct w:val="0"/>
              <w:spacing w:line="300" w:lineRule="exact"/>
              <w:rPr>
                <w:rFonts w:eastAsia="仿宋_GB2312"/>
              </w:rPr>
            </w:pPr>
            <w:r>
              <w:rPr>
                <w:rFonts w:eastAsia="仿宋_GB2312"/>
              </w:rPr>
              <w:t>惠阳（象岭）智慧科技产业园</w:t>
            </w:r>
          </w:p>
        </w:tc>
        <w:tc>
          <w:tcPr>
            <w:tcW w:w="1207" w:type="dxa"/>
            <w:tcMar>
              <w:top w:w="227" w:type="dxa"/>
              <w:bottom w:w="227" w:type="dxa"/>
            </w:tcMar>
            <w:vAlign w:val="center"/>
          </w:tcPr>
          <w:p>
            <w:pPr>
              <w:pStyle w:val="31"/>
              <w:overflowPunct w:val="0"/>
              <w:spacing w:line="300" w:lineRule="exact"/>
              <w:rPr>
                <w:rFonts w:eastAsia="仿宋_GB2312"/>
              </w:rPr>
            </w:pPr>
            <w:r>
              <w:rPr>
                <w:rFonts w:eastAsia="仿宋_GB2312"/>
              </w:rPr>
              <w:t>三和街道</w:t>
            </w:r>
          </w:p>
        </w:tc>
        <w:tc>
          <w:tcPr>
            <w:tcW w:w="2471" w:type="dxa"/>
            <w:tcMar>
              <w:top w:w="227" w:type="dxa"/>
              <w:bottom w:w="227" w:type="dxa"/>
            </w:tcMar>
            <w:vAlign w:val="center"/>
          </w:tcPr>
          <w:p>
            <w:pPr>
              <w:pStyle w:val="31"/>
              <w:overflowPunct w:val="0"/>
              <w:spacing w:line="300" w:lineRule="exact"/>
              <w:rPr>
                <w:rFonts w:eastAsia="仿宋_GB2312"/>
              </w:rPr>
            </w:pPr>
            <w:r>
              <w:rPr>
                <w:rFonts w:eastAsia="仿宋_GB2312"/>
              </w:rPr>
              <w:t>电子信息、智能制造、现代服务</w:t>
            </w:r>
          </w:p>
        </w:tc>
        <w:tc>
          <w:tcPr>
            <w:tcW w:w="1456" w:type="dxa"/>
            <w:tcMar>
              <w:top w:w="227" w:type="dxa"/>
              <w:bottom w:w="227" w:type="dxa"/>
            </w:tcMar>
            <w:vAlign w:val="center"/>
          </w:tcPr>
          <w:p>
            <w:pPr>
              <w:pStyle w:val="31"/>
              <w:overflowPunct w:val="0"/>
              <w:spacing w:line="300" w:lineRule="exact"/>
              <w:rPr>
                <w:rFonts w:eastAsia="仿宋_GB2312"/>
              </w:rPr>
            </w:pPr>
            <w:r>
              <w:rPr>
                <w:rFonts w:eastAsia="仿宋_GB2312"/>
              </w:rPr>
              <w:t>21.3</w:t>
            </w:r>
          </w:p>
        </w:tc>
        <w:tc>
          <w:tcPr>
            <w:tcW w:w="1439" w:type="dxa"/>
            <w:tcMar>
              <w:top w:w="227" w:type="dxa"/>
              <w:bottom w:w="227" w:type="dxa"/>
            </w:tcMar>
            <w:vAlign w:val="center"/>
          </w:tcPr>
          <w:p>
            <w:pPr>
              <w:pStyle w:val="31"/>
              <w:overflowPunct w:val="0"/>
              <w:spacing w:line="300" w:lineRule="exact"/>
              <w:rPr>
                <w:rFonts w:eastAsia="仿宋_GB2312"/>
              </w:rPr>
            </w:pPr>
            <w:r>
              <w:rPr>
                <w:rFonts w:eastAsia="仿宋_GB2312"/>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pPr>
              <w:pStyle w:val="31"/>
              <w:overflowPunct w:val="0"/>
              <w:spacing w:line="300" w:lineRule="exact"/>
              <w:rPr>
                <w:rFonts w:eastAsia="仿宋_GB2312"/>
              </w:rPr>
            </w:pPr>
            <w:r>
              <w:rPr>
                <w:rFonts w:eastAsia="仿宋_GB2312"/>
              </w:rPr>
              <w:t>惠东县</w:t>
            </w:r>
          </w:p>
        </w:tc>
        <w:tc>
          <w:tcPr>
            <w:tcW w:w="1836" w:type="dxa"/>
            <w:tcMar>
              <w:top w:w="227" w:type="dxa"/>
              <w:bottom w:w="227" w:type="dxa"/>
            </w:tcMar>
            <w:vAlign w:val="center"/>
          </w:tcPr>
          <w:p>
            <w:pPr>
              <w:pStyle w:val="31"/>
              <w:overflowPunct w:val="0"/>
              <w:spacing w:line="300" w:lineRule="exact"/>
              <w:rPr>
                <w:rFonts w:eastAsia="仿宋_GB2312"/>
              </w:rPr>
            </w:pPr>
            <w:r>
              <w:rPr>
                <w:rFonts w:eastAsia="仿宋_GB2312"/>
              </w:rPr>
              <w:t>惠</w:t>
            </w:r>
            <w:r>
              <w:rPr>
                <w:rFonts w:hint="eastAsia" w:eastAsia="仿宋_GB2312"/>
              </w:rPr>
              <w:t>州</w:t>
            </w:r>
            <w:r>
              <w:rPr>
                <w:rFonts w:eastAsia="仿宋_GB2312"/>
              </w:rPr>
              <w:t>新材料</w:t>
            </w:r>
          </w:p>
          <w:p>
            <w:pPr>
              <w:pStyle w:val="31"/>
              <w:overflowPunct w:val="0"/>
              <w:spacing w:line="300" w:lineRule="exact"/>
              <w:rPr>
                <w:rFonts w:eastAsia="仿宋_GB2312"/>
              </w:rPr>
            </w:pPr>
            <w:r>
              <w:rPr>
                <w:rFonts w:eastAsia="仿宋_GB2312"/>
              </w:rPr>
              <w:t>产业园</w:t>
            </w:r>
          </w:p>
        </w:tc>
        <w:tc>
          <w:tcPr>
            <w:tcW w:w="1207" w:type="dxa"/>
            <w:tcMar>
              <w:top w:w="227" w:type="dxa"/>
              <w:bottom w:w="227" w:type="dxa"/>
            </w:tcMar>
            <w:vAlign w:val="center"/>
          </w:tcPr>
          <w:p>
            <w:pPr>
              <w:pStyle w:val="31"/>
              <w:overflowPunct w:val="0"/>
              <w:spacing w:line="300" w:lineRule="exact"/>
              <w:rPr>
                <w:rFonts w:eastAsia="仿宋_GB2312"/>
              </w:rPr>
            </w:pPr>
            <w:r>
              <w:rPr>
                <w:rFonts w:eastAsia="仿宋_GB2312"/>
              </w:rPr>
              <w:t>白花镇</w:t>
            </w:r>
          </w:p>
          <w:p>
            <w:pPr>
              <w:pStyle w:val="31"/>
              <w:overflowPunct w:val="0"/>
              <w:spacing w:line="300" w:lineRule="exact"/>
              <w:rPr>
                <w:rFonts w:eastAsia="仿宋_GB2312"/>
              </w:rPr>
            </w:pPr>
            <w:r>
              <w:rPr>
                <w:rFonts w:hint="eastAsia" w:eastAsia="仿宋_GB2312"/>
              </w:rPr>
              <w:t>大岭街道</w:t>
            </w:r>
          </w:p>
        </w:tc>
        <w:tc>
          <w:tcPr>
            <w:tcW w:w="2471" w:type="dxa"/>
            <w:tcMar>
              <w:top w:w="227" w:type="dxa"/>
              <w:bottom w:w="227" w:type="dxa"/>
            </w:tcMar>
            <w:vAlign w:val="center"/>
          </w:tcPr>
          <w:p>
            <w:pPr>
              <w:pStyle w:val="31"/>
              <w:overflowPunct w:val="0"/>
              <w:spacing w:line="300" w:lineRule="exact"/>
              <w:rPr>
                <w:rFonts w:eastAsia="仿宋_GB2312"/>
              </w:rPr>
            </w:pPr>
            <w:r>
              <w:rPr>
                <w:rFonts w:eastAsia="仿宋_GB2312"/>
              </w:rPr>
              <w:t>新材料</w:t>
            </w:r>
            <w:r>
              <w:rPr>
                <w:rFonts w:hint="eastAsia" w:eastAsia="仿宋_GB2312"/>
              </w:rPr>
              <w:t>、精细化工</w:t>
            </w:r>
          </w:p>
        </w:tc>
        <w:tc>
          <w:tcPr>
            <w:tcW w:w="1456" w:type="dxa"/>
            <w:tcMar>
              <w:top w:w="227" w:type="dxa"/>
              <w:bottom w:w="227" w:type="dxa"/>
            </w:tcMar>
            <w:vAlign w:val="center"/>
          </w:tcPr>
          <w:p>
            <w:pPr>
              <w:pStyle w:val="31"/>
              <w:overflowPunct w:val="0"/>
              <w:spacing w:line="300" w:lineRule="exact"/>
              <w:rPr>
                <w:rFonts w:eastAsia="仿宋_GB2312"/>
              </w:rPr>
            </w:pPr>
            <w:r>
              <w:rPr>
                <w:rFonts w:hint="eastAsia" w:eastAsia="仿宋_GB2312"/>
              </w:rPr>
              <w:t>41</w:t>
            </w:r>
          </w:p>
        </w:tc>
        <w:tc>
          <w:tcPr>
            <w:tcW w:w="1439" w:type="dxa"/>
            <w:tcMar>
              <w:top w:w="227" w:type="dxa"/>
              <w:bottom w:w="227" w:type="dxa"/>
            </w:tcMar>
            <w:vAlign w:val="center"/>
          </w:tcPr>
          <w:p>
            <w:pPr>
              <w:pStyle w:val="31"/>
              <w:overflowPunct w:val="0"/>
              <w:spacing w:line="300" w:lineRule="exact"/>
              <w:rPr>
                <w:rFonts w:eastAsia="仿宋_GB2312"/>
              </w:rPr>
            </w:pPr>
            <w:r>
              <w:rPr>
                <w:rFonts w:hint="eastAsia" w:eastAsia="仿宋_GB2312"/>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pPr>
              <w:pStyle w:val="31"/>
              <w:overflowPunct w:val="0"/>
              <w:spacing w:line="300" w:lineRule="exact"/>
              <w:rPr>
                <w:rFonts w:eastAsia="仿宋_GB2312"/>
              </w:rPr>
            </w:pPr>
            <w:r>
              <w:rPr>
                <w:rFonts w:eastAsia="仿宋_GB2312"/>
              </w:rPr>
              <w:t>博罗县</w:t>
            </w:r>
          </w:p>
        </w:tc>
        <w:tc>
          <w:tcPr>
            <w:tcW w:w="1836" w:type="dxa"/>
            <w:tcMar>
              <w:top w:w="227" w:type="dxa"/>
              <w:bottom w:w="227" w:type="dxa"/>
            </w:tcMar>
            <w:vAlign w:val="center"/>
          </w:tcPr>
          <w:p>
            <w:pPr>
              <w:pStyle w:val="31"/>
              <w:overflowPunct w:val="0"/>
              <w:spacing w:line="300" w:lineRule="exact"/>
              <w:rPr>
                <w:rFonts w:eastAsia="仿宋_GB2312"/>
              </w:rPr>
            </w:pPr>
            <w:r>
              <w:rPr>
                <w:rFonts w:eastAsia="仿宋_GB2312"/>
              </w:rPr>
              <w:t>博罗智能装备产业园</w:t>
            </w:r>
          </w:p>
        </w:tc>
        <w:tc>
          <w:tcPr>
            <w:tcW w:w="1207" w:type="dxa"/>
            <w:tcMar>
              <w:top w:w="227" w:type="dxa"/>
              <w:bottom w:w="227" w:type="dxa"/>
            </w:tcMar>
            <w:vAlign w:val="center"/>
          </w:tcPr>
          <w:p>
            <w:pPr>
              <w:pStyle w:val="31"/>
              <w:overflowPunct w:val="0"/>
              <w:spacing w:line="300" w:lineRule="exact"/>
              <w:rPr>
                <w:rFonts w:eastAsia="仿宋_GB2312"/>
              </w:rPr>
            </w:pPr>
            <w:r>
              <w:rPr>
                <w:rFonts w:eastAsia="仿宋_GB2312"/>
              </w:rPr>
              <w:t>石湾镇</w:t>
            </w:r>
          </w:p>
          <w:p>
            <w:pPr>
              <w:pStyle w:val="31"/>
              <w:overflowPunct w:val="0"/>
              <w:spacing w:line="300" w:lineRule="exact"/>
              <w:rPr>
                <w:rFonts w:eastAsia="仿宋_GB2312"/>
              </w:rPr>
            </w:pPr>
            <w:r>
              <w:rPr>
                <w:rFonts w:eastAsia="仿宋_GB2312"/>
              </w:rPr>
              <w:t>园洲镇</w:t>
            </w:r>
          </w:p>
        </w:tc>
        <w:tc>
          <w:tcPr>
            <w:tcW w:w="2471" w:type="dxa"/>
            <w:tcMar>
              <w:top w:w="227" w:type="dxa"/>
              <w:bottom w:w="227" w:type="dxa"/>
            </w:tcMar>
            <w:vAlign w:val="center"/>
          </w:tcPr>
          <w:p>
            <w:pPr>
              <w:pStyle w:val="31"/>
              <w:overflowPunct w:val="0"/>
              <w:spacing w:line="300" w:lineRule="exact"/>
              <w:rPr>
                <w:rFonts w:eastAsia="仿宋_GB2312"/>
              </w:rPr>
            </w:pPr>
            <w:r>
              <w:rPr>
                <w:rFonts w:eastAsia="仿宋_GB2312"/>
              </w:rPr>
              <w:t>精密部件、智能装备制造、智慧物流</w:t>
            </w:r>
          </w:p>
        </w:tc>
        <w:tc>
          <w:tcPr>
            <w:tcW w:w="1456" w:type="dxa"/>
            <w:tcMar>
              <w:top w:w="227" w:type="dxa"/>
              <w:bottom w:w="227" w:type="dxa"/>
            </w:tcMar>
            <w:vAlign w:val="center"/>
          </w:tcPr>
          <w:p>
            <w:pPr>
              <w:pStyle w:val="31"/>
              <w:overflowPunct w:val="0"/>
              <w:spacing w:line="300" w:lineRule="exact"/>
              <w:rPr>
                <w:rFonts w:eastAsia="仿宋_GB2312"/>
              </w:rPr>
            </w:pPr>
            <w:r>
              <w:rPr>
                <w:rFonts w:eastAsia="仿宋_GB2312"/>
              </w:rPr>
              <w:t>29.9</w:t>
            </w:r>
          </w:p>
        </w:tc>
        <w:tc>
          <w:tcPr>
            <w:tcW w:w="1439" w:type="dxa"/>
            <w:tcMar>
              <w:top w:w="227" w:type="dxa"/>
              <w:bottom w:w="227" w:type="dxa"/>
            </w:tcMar>
            <w:vAlign w:val="center"/>
          </w:tcPr>
          <w:p>
            <w:pPr>
              <w:pStyle w:val="31"/>
              <w:overflowPunct w:val="0"/>
              <w:spacing w:line="300" w:lineRule="exact"/>
              <w:rPr>
                <w:rFonts w:eastAsia="仿宋_GB2312"/>
              </w:rPr>
            </w:pPr>
            <w:r>
              <w:rPr>
                <w:rFonts w:eastAsia="仿宋_GB2312"/>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pPr>
              <w:pStyle w:val="31"/>
              <w:overflowPunct w:val="0"/>
              <w:spacing w:line="300" w:lineRule="exact"/>
              <w:rPr>
                <w:rFonts w:eastAsia="仿宋_GB2312"/>
              </w:rPr>
            </w:pPr>
            <w:r>
              <w:rPr>
                <w:rFonts w:eastAsia="仿宋_GB2312"/>
              </w:rPr>
              <w:t>龙门县</w:t>
            </w:r>
          </w:p>
        </w:tc>
        <w:tc>
          <w:tcPr>
            <w:tcW w:w="1836" w:type="dxa"/>
            <w:tcMar>
              <w:top w:w="227" w:type="dxa"/>
              <w:bottom w:w="227" w:type="dxa"/>
            </w:tcMar>
            <w:vAlign w:val="center"/>
          </w:tcPr>
          <w:p>
            <w:pPr>
              <w:pStyle w:val="31"/>
              <w:overflowPunct w:val="0"/>
              <w:spacing w:line="300" w:lineRule="exact"/>
              <w:rPr>
                <w:rFonts w:eastAsia="仿宋_GB2312"/>
              </w:rPr>
            </w:pPr>
            <w:r>
              <w:rPr>
                <w:rFonts w:eastAsia="仿宋_GB2312"/>
              </w:rPr>
              <w:t>龙门大健康</w:t>
            </w:r>
          </w:p>
          <w:p>
            <w:pPr>
              <w:pStyle w:val="31"/>
              <w:overflowPunct w:val="0"/>
              <w:spacing w:line="300" w:lineRule="exact"/>
              <w:rPr>
                <w:rFonts w:eastAsia="仿宋_GB2312"/>
              </w:rPr>
            </w:pPr>
            <w:r>
              <w:rPr>
                <w:rFonts w:eastAsia="仿宋_GB2312"/>
              </w:rPr>
              <w:t>产业园</w:t>
            </w:r>
          </w:p>
        </w:tc>
        <w:tc>
          <w:tcPr>
            <w:tcW w:w="1207" w:type="dxa"/>
            <w:tcMar>
              <w:top w:w="227" w:type="dxa"/>
              <w:bottom w:w="227" w:type="dxa"/>
            </w:tcMar>
            <w:vAlign w:val="center"/>
          </w:tcPr>
          <w:p>
            <w:pPr>
              <w:pStyle w:val="31"/>
              <w:overflowPunct w:val="0"/>
              <w:spacing w:line="300" w:lineRule="exact"/>
              <w:rPr>
                <w:rFonts w:eastAsia="仿宋_GB2312"/>
              </w:rPr>
            </w:pPr>
            <w:r>
              <w:rPr>
                <w:rFonts w:eastAsia="仿宋_GB2312"/>
              </w:rPr>
              <w:t>龙门县城南部</w:t>
            </w:r>
          </w:p>
        </w:tc>
        <w:tc>
          <w:tcPr>
            <w:tcW w:w="2471" w:type="dxa"/>
            <w:tcMar>
              <w:top w:w="227" w:type="dxa"/>
              <w:bottom w:w="227" w:type="dxa"/>
            </w:tcMar>
            <w:vAlign w:val="center"/>
          </w:tcPr>
          <w:p>
            <w:pPr>
              <w:pStyle w:val="31"/>
              <w:overflowPunct w:val="0"/>
              <w:spacing w:line="300" w:lineRule="exact"/>
              <w:rPr>
                <w:rFonts w:eastAsia="仿宋_GB2312"/>
              </w:rPr>
            </w:pPr>
            <w:r>
              <w:rPr>
                <w:rFonts w:eastAsia="仿宋_GB2312"/>
              </w:rPr>
              <w:t>中医药、生物医药、医疗器械</w:t>
            </w:r>
          </w:p>
        </w:tc>
        <w:tc>
          <w:tcPr>
            <w:tcW w:w="1456" w:type="dxa"/>
            <w:tcMar>
              <w:top w:w="227" w:type="dxa"/>
              <w:bottom w:w="227" w:type="dxa"/>
            </w:tcMar>
            <w:vAlign w:val="center"/>
          </w:tcPr>
          <w:p>
            <w:pPr>
              <w:pStyle w:val="31"/>
              <w:overflowPunct w:val="0"/>
              <w:spacing w:line="300" w:lineRule="exact"/>
              <w:rPr>
                <w:rFonts w:eastAsia="仿宋_GB2312"/>
              </w:rPr>
            </w:pPr>
            <w:r>
              <w:rPr>
                <w:rFonts w:eastAsia="仿宋_GB2312"/>
              </w:rPr>
              <w:t>28.6</w:t>
            </w:r>
          </w:p>
        </w:tc>
        <w:tc>
          <w:tcPr>
            <w:tcW w:w="1439" w:type="dxa"/>
            <w:tcMar>
              <w:top w:w="227" w:type="dxa"/>
              <w:bottom w:w="227" w:type="dxa"/>
            </w:tcMar>
            <w:vAlign w:val="center"/>
          </w:tcPr>
          <w:p>
            <w:pPr>
              <w:pStyle w:val="31"/>
              <w:overflowPunct w:val="0"/>
              <w:spacing w:line="300" w:lineRule="exact"/>
              <w:rPr>
                <w:rFonts w:eastAsia="仿宋_GB2312"/>
              </w:rPr>
            </w:pPr>
            <w:r>
              <w:rPr>
                <w:rFonts w:eastAsia="仿宋_GB2312"/>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pPr>
              <w:pStyle w:val="31"/>
              <w:overflowPunct w:val="0"/>
              <w:spacing w:line="300" w:lineRule="exact"/>
              <w:rPr>
                <w:rFonts w:eastAsia="仿宋_GB2312"/>
              </w:rPr>
            </w:pPr>
            <w:r>
              <w:rPr>
                <w:rFonts w:eastAsia="仿宋_GB2312"/>
              </w:rPr>
              <w:t>大亚湾开发区</w:t>
            </w:r>
          </w:p>
        </w:tc>
        <w:tc>
          <w:tcPr>
            <w:tcW w:w="1836" w:type="dxa"/>
            <w:tcMar>
              <w:top w:w="227" w:type="dxa"/>
              <w:bottom w:w="227" w:type="dxa"/>
            </w:tcMar>
            <w:vAlign w:val="center"/>
          </w:tcPr>
          <w:p>
            <w:pPr>
              <w:pStyle w:val="31"/>
              <w:overflowPunct w:val="0"/>
              <w:spacing w:line="300" w:lineRule="exact"/>
              <w:rPr>
                <w:rFonts w:eastAsia="仿宋_GB2312"/>
              </w:rPr>
            </w:pPr>
            <w:r>
              <w:rPr>
                <w:rFonts w:eastAsia="仿宋_GB2312"/>
              </w:rPr>
              <w:t>大亚湾新兴</w:t>
            </w:r>
          </w:p>
          <w:p>
            <w:pPr>
              <w:pStyle w:val="31"/>
              <w:overflowPunct w:val="0"/>
              <w:spacing w:line="300" w:lineRule="exact"/>
              <w:rPr>
                <w:rFonts w:eastAsia="仿宋_GB2312"/>
              </w:rPr>
            </w:pPr>
            <w:r>
              <w:rPr>
                <w:rFonts w:eastAsia="仿宋_GB2312"/>
              </w:rPr>
              <w:t>产业园</w:t>
            </w:r>
          </w:p>
        </w:tc>
        <w:tc>
          <w:tcPr>
            <w:tcW w:w="1207" w:type="dxa"/>
            <w:tcMar>
              <w:top w:w="227" w:type="dxa"/>
              <w:bottom w:w="227" w:type="dxa"/>
            </w:tcMar>
            <w:vAlign w:val="center"/>
          </w:tcPr>
          <w:p>
            <w:pPr>
              <w:pStyle w:val="31"/>
              <w:overflowPunct w:val="0"/>
              <w:spacing w:line="300" w:lineRule="exact"/>
              <w:rPr>
                <w:rFonts w:eastAsia="仿宋_GB2312"/>
              </w:rPr>
            </w:pPr>
            <w:r>
              <w:rPr>
                <w:rFonts w:eastAsia="仿宋_GB2312"/>
              </w:rPr>
              <w:t>西区街道</w:t>
            </w:r>
          </w:p>
        </w:tc>
        <w:tc>
          <w:tcPr>
            <w:tcW w:w="2471" w:type="dxa"/>
            <w:tcMar>
              <w:top w:w="227" w:type="dxa"/>
              <w:bottom w:w="227" w:type="dxa"/>
            </w:tcMar>
            <w:vAlign w:val="center"/>
          </w:tcPr>
          <w:p>
            <w:pPr>
              <w:pStyle w:val="31"/>
              <w:overflowPunct w:val="0"/>
              <w:spacing w:line="300" w:lineRule="exact"/>
              <w:rPr>
                <w:rFonts w:eastAsia="仿宋_GB2312"/>
              </w:rPr>
            </w:pPr>
            <w:r>
              <w:rPr>
                <w:rFonts w:eastAsia="仿宋_GB2312"/>
              </w:rPr>
              <w:t>互联网信息服务、人工智能、新一代电子信息、高端汽车装备制造</w:t>
            </w:r>
            <w:r>
              <w:rPr>
                <w:rFonts w:hint="eastAsia" w:eastAsia="仿宋_GB2312"/>
              </w:rPr>
              <w:t>和新能源汽车产业</w:t>
            </w:r>
          </w:p>
        </w:tc>
        <w:tc>
          <w:tcPr>
            <w:tcW w:w="1456" w:type="dxa"/>
            <w:tcMar>
              <w:top w:w="227" w:type="dxa"/>
              <w:bottom w:w="227" w:type="dxa"/>
            </w:tcMar>
            <w:vAlign w:val="center"/>
          </w:tcPr>
          <w:p>
            <w:pPr>
              <w:pStyle w:val="31"/>
              <w:overflowPunct w:val="0"/>
              <w:spacing w:line="300" w:lineRule="exact"/>
              <w:rPr>
                <w:rFonts w:eastAsia="仿宋_GB2312"/>
              </w:rPr>
            </w:pPr>
            <w:r>
              <w:rPr>
                <w:rFonts w:eastAsia="仿宋_GB2312"/>
              </w:rPr>
              <w:t>25.95</w:t>
            </w:r>
          </w:p>
        </w:tc>
        <w:tc>
          <w:tcPr>
            <w:tcW w:w="1439" w:type="dxa"/>
            <w:tcMar>
              <w:top w:w="227" w:type="dxa"/>
              <w:bottom w:w="227" w:type="dxa"/>
            </w:tcMar>
            <w:vAlign w:val="center"/>
          </w:tcPr>
          <w:p>
            <w:pPr>
              <w:pStyle w:val="31"/>
              <w:overflowPunct w:val="0"/>
              <w:spacing w:line="300" w:lineRule="exact"/>
              <w:rPr>
                <w:rFonts w:eastAsia="仿宋_GB2312"/>
              </w:rPr>
            </w:pPr>
            <w:r>
              <w:rPr>
                <w:rFonts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Mar>
              <w:top w:w="227" w:type="dxa"/>
              <w:bottom w:w="227" w:type="dxa"/>
            </w:tcMar>
            <w:vAlign w:val="center"/>
          </w:tcPr>
          <w:p>
            <w:pPr>
              <w:pStyle w:val="31"/>
              <w:overflowPunct w:val="0"/>
              <w:spacing w:line="300" w:lineRule="exact"/>
              <w:rPr>
                <w:rFonts w:eastAsia="仿宋_GB2312"/>
              </w:rPr>
            </w:pPr>
            <w:r>
              <w:rPr>
                <w:rFonts w:eastAsia="仿宋_GB2312"/>
              </w:rPr>
              <w:t>仲恺高新区</w:t>
            </w:r>
          </w:p>
        </w:tc>
        <w:tc>
          <w:tcPr>
            <w:tcW w:w="1836" w:type="dxa"/>
            <w:tcMar>
              <w:top w:w="227" w:type="dxa"/>
              <w:bottom w:w="227" w:type="dxa"/>
            </w:tcMar>
            <w:vAlign w:val="center"/>
          </w:tcPr>
          <w:p>
            <w:pPr>
              <w:pStyle w:val="31"/>
              <w:overflowPunct w:val="0"/>
              <w:spacing w:line="300" w:lineRule="exact"/>
              <w:rPr>
                <w:rFonts w:eastAsia="仿宋_GB2312"/>
              </w:rPr>
            </w:pPr>
            <w:r>
              <w:rPr>
                <w:rFonts w:eastAsia="仿宋_GB2312"/>
              </w:rPr>
              <w:t>广东（仲恺）人工智能产业园</w:t>
            </w:r>
          </w:p>
        </w:tc>
        <w:tc>
          <w:tcPr>
            <w:tcW w:w="1207" w:type="dxa"/>
            <w:tcMar>
              <w:top w:w="227" w:type="dxa"/>
              <w:bottom w:w="227" w:type="dxa"/>
            </w:tcMar>
            <w:vAlign w:val="center"/>
          </w:tcPr>
          <w:p>
            <w:pPr>
              <w:pStyle w:val="31"/>
              <w:overflowPunct w:val="0"/>
              <w:spacing w:line="300" w:lineRule="exact"/>
              <w:rPr>
                <w:rFonts w:eastAsia="仿宋_GB2312"/>
              </w:rPr>
            </w:pPr>
            <w:r>
              <w:rPr>
                <w:rFonts w:eastAsia="仿宋_GB2312"/>
              </w:rPr>
              <w:t>仲恺高新区西南部</w:t>
            </w:r>
          </w:p>
        </w:tc>
        <w:tc>
          <w:tcPr>
            <w:tcW w:w="2471" w:type="dxa"/>
            <w:tcMar>
              <w:top w:w="227" w:type="dxa"/>
              <w:bottom w:w="227" w:type="dxa"/>
            </w:tcMar>
            <w:vAlign w:val="center"/>
          </w:tcPr>
          <w:p>
            <w:pPr>
              <w:pStyle w:val="31"/>
              <w:overflowPunct w:val="0"/>
              <w:spacing w:line="300" w:lineRule="exact"/>
              <w:rPr>
                <w:rFonts w:eastAsia="仿宋_GB2312"/>
              </w:rPr>
            </w:pPr>
            <w:r>
              <w:rPr>
                <w:rFonts w:eastAsia="仿宋_GB2312"/>
              </w:rPr>
              <w:t>智能终端、新型显示、现代服务</w:t>
            </w:r>
          </w:p>
        </w:tc>
        <w:tc>
          <w:tcPr>
            <w:tcW w:w="1456" w:type="dxa"/>
            <w:tcMar>
              <w:top w:w="227" w:type="dxa"/>
              <w:bottom w:w="227" w:type="dxa"/>
            </w:tcMar>
            <w:vAlign w:val="center"/>
          </w:tcPr>
          <w:p>
            <w:pPr>
              <w:pStyle w:val="31"/>
              <w:overflowPunct w:val="0"/>
              <w:spacing w:line="300" w:lineRule="exact"/>
              <w:rPr>
                <w:rFonts w:eastAsia="仿宋_GB2312"/>
              </w:rPr>
            </w:pPr>
            <w:r>
              <w:rPr>
                <w:rFonts w:eastAsia="仿宋_GB2312"/>
              </w:rPr>
              <w:t>29.9</w:t>
            </w:r>
          </w:p>
        </w:tc>
        <w:tc>
          <w:tcPr>
            <w:tcW w:w="1439" w:type="dxa"/>
            <w:tcMar>
              <w:top w:w="227" w:type="dxa"/>
              <w:bottom w:w="227" w:type="dxa"/>
            </w:tcMar>
            <w:vAlign w:val="center"/>
          </w:tcPr>
          <w:p>
            <w:pPr>
              <w:pStyle w:val="31"/>
              <w:overflowPunct w:val="0"/>
              <w:spacing w:line="300" w:lineRule="exact"/>
              <w:rPr>
                <w:rFonts w:eastAsia="仿宋_GB2312"/>
              </w:rPr>
            </w:pPr>
            <w:r>
              <w:rPr>
                <w:rFonts w:eastAsia="仿宋_GB2312"/>
              </w:rPr>
              <w:t>9.7</w:t>
            </w:r>
          </w:p>
        </w:tc>
      </w:tr>
    </w:tbl>
    <w:p>
      <w:pPr>
        <w:overflowPunct w:val="0"/>
        <w:spacing w:line="240" w:lineRule="auto"/>
        <w:ind w:firstLine="0" w:firstLineChars="0"/>
        <w:rPr>
          <w:b/>
          <w:bCs/>
        </w:rPr>
      </w:pPr>
    </w:p>
    <w:p>
      <w:pPr>
        <w:overflowPunct w:val="0"/>
        <w:spacing w:line="240" w:lineRule="auto"/>
        <w:ind w:firstLine="0" w:firstLineChars="0"/>
        <w:jc w:val="center"/>
        <w:rPr>
          <w:b/>
          <w:bCs/>
        </w:rPr>
      </w:pPr>
      <w:r>
        <w:rPr>
          <w:rFonts w:hint="eastAsia"/>
          <w:b/>
          <w:bCs/>
        </w:rPr>
        <w:drawing>
          <wp:inline distT="0" distB="0" distL="114300" distR="114300">
            <wp:extent cx="5648960" cy="4446905"/>
            <wp:effectExtent l="9525" t="9525" r="18415" b="20320"/>
            <wp:docPr id="7" name="图片 7" descr="微信图片_2021052610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526103253"/>
                    <pic:cNvPicPr>
                      <a:picLocks noChangeAspect="1"/>
                    </pic:cNvPicPr>
                  </pic:nvPicPr>
                  <pic:blipFill>
                    <a:blip r:embed="rId20"/>
                    <a:srcRect l="2148" t="2675" r="11525" b="2331"/>
                    <a:stretch>
                      <a:fillRect/>
                    </a:stretch>
                  </pic:blipFill>
                  <pic:spPr>
                    <a:xfrm>
                      <a:off x="0" y="0"/>
                      <a:ext cx="5648960" cy="4446905"/>
                    </a:xfrm>
                    <a:prstGeom prst="rect">
                      <a:avLst/>
                    </a:prstGeom>
                    <a:ln>
                      <a:solidFill>
                        <a:schemeClr val="tx1"/>
                      </a:solidFill>
                    </a:ln>
                  </pic:spPr>
                </pic:pic>
              </a:graphicData>
            </a:graphic>
          </wp:inline>
        </w:drawing>
      </w:r>
    </w:p>
    <w:p>
      <w:pPr>
        <w:pStyle w:val="26"/>
        <w:overflowPunct w:val="0"/>
        <w:spacing w:line="600" w:lineRule="exact"/>
      </w:pPr>
      <w:r>
        <w:rPr>
          <w:rFonts w:hint="eastAsia"/>
        </w:rPr>
        <w:t>图5 惠州市“3+7”工业园区布局图</w:t>
      </w:r>
    </w:p>
    <w:p>
      <w:pPr>
        <w:overflowPunct w:val="0"/>
        <w:spacing w:line="600" w:lineRule="exact"/>
        <w:ind w:firstLine="640"/>
      </w:pPr>
    </w:p>
    <w:p>
      <w:pPr>
        <w:pStyle w:val="5"/>
        <w:overflowPunct w:val="0"/>
        <w:spacing w:line="600" w:lineRule="exact"/>
        <w:rPr>
          <w:rFonts w:ascii="Times New Roman" w:hAnsi="Times New Roman"/>
        </w:rPr>
      </w:pPr>
      <w:bookmarkStart w:id="85" w:name="_Toc19059"/>
      <w:bookmarkStart w:id="86" w:name="_Toc21856"/>
      <w:bookmarkStart w:id="87" w:name="_Toc15278"/>
      <w:bookmarkStart w:id="88" w:name="_Toc12419"/>
      <w:r>
        <w:rPr>
          <w:rFonts w:ascii="Times New Roman" w:hAnsi="Times New Roman"/>
        </w:rPr>
        <w:t>第</w:t>
      </w:r>
      <w:r>
        <w:rPr>
          <w:rFonts w:hint="eastAsia" w:ascii="Times New Roman" w:hAnsi="Times New Roman"/>
        </w:rPr>
        <w:t>七</w:t>
      </w:r>
      <w:r>
        <w:rPr>
          <w:rFonts w:ascii="Times New Roman" w:hAnsi="Times New Roman"/>
        </w:rPr>
        <w:t xml:space="preserve">节  </w:t>
      </w:r>
      <w:r>
        <w:rPr>
          <w:rFonts w:hint="eastAsia" w:ascii="Times New Roman" w:hAnsi="Times New Roman"/>
        </w:rPr>
        <w:t>加快推进</w:t>
      </w:r>
      <w:r>
        <w:rPr>
          <w:rFonts w:ascii="Times New Roman" w:hAnsi="Times New Roman"/>
        </w:rPr>
        <w:t>质量强市建设</w:t>
      </w:r>
      <w:bookmarkEnd w:id="85"/>
      <w:bookmarkEnd w:id="86"/>
      <w:bookmarkEnd w:id="87"/>
      <w:bookmarkEnd w:id="88"/>
    </w:p>
    <w:p>
      <w:pPr>
        <w:overflowPunct w:val="0"/>
        <w:spacing w:line="600" w:lineRule="exact"/>
        <w:ind w:firstLine="643"/>
      </w:pPr>
      <w:r>
        <w:rPr>
          <w:b/>
          <w:bCs/>
        </w:rPr>
        <w:t>提升先进标准支撑产业发展能力。</w:t>
      </w:r>
      <w:r>
        <w:t>鼓励企业积极参与制（修）订国际标准、国家标准和行业标准。支持企业参与数字领域规则和标准制定。积极支持项目研发成果和必要专利转化为技术标准，推动技术研发、标准研制与专利布局有效衔接。提升重点领域上下游产业标准的协同性和配套性，建立覆盖全产业链和产品全生命周期的标准体系。加快培育标准化服务业，健全服务业质</w:t>
      </w:r>
      <w:r>
        <w:rPr>
          <w:spacing w:val="4"/>
        </w:rPr>
        <w:t>量追溯、传导和监督机制。到2025年，主导或参与制（修）订</w:t>
      </w:r>
      <w:r>
        <w:t>国际标准、国家标准、行业标准和地方标准70项以上。</w:t>
      </w:r>
    </w:p>
    <w:p>
      <w:pPr>
        <w:overflowPunct w:val="0"/>
        <w:spacing w:line="600" w:lineRule="exact"/>
        <w:ind w:firstLine="643"/>
      </w:pPr>
      <w:r>
        <w:rPr>
          <w:b/>
          <w:bCs/>
        </w:rPr>
        <w:t>加强质量监管能力建设。</w:t>
      </w:r>
      <w:r>
        <w:t>构建现代质量监管体系</w:t>
      </w:r>
      <w:r>
        <w:rPr>
          <w:spacing w:val="-11"/>
        </w:rPr>
        <w:t>，</w:t>
      </w:r>
      <w:r>
        <w:rPr>
          <w:rFonts w:hint="eastAsia"/>
          <w:spacing w:val="-11"/>
        </w:rPr>
        <w:t>加强</w:t>
      </w:r>
      <w:r>
        <w:t>质量基础设施建设，争取在重点产业集群建立国家级和省级计量、标准、检测、认证专业机构，推动</w:t>
      </w:r>
      <w:r>
        <w:rPr>
          <w:rFonts w:hint="eastAsia"/>
        </w:rPr>
        <w:t>惠州</w:t>
      </w:r>
      <w:r>
        <w:t>重点产业领域的标准成为国家、国际标准。加快推进国家高清图像采集处理产品监督检验</w:t>
      </w:r>
      <w:r>
        <w:rPr>
          <w:rFonts w:hint="eastAsia"/>
        </w:rPr>
        <w:t>平台</w:t>
      </w:r>
      <w:r>
        <w:t>建设。</w:t>
      </w:r>
      <w:r>
        <w:rPr>
          <w:spacing w:val="-11"/>
        </w:rPr>
        <w:t>建成国家产品质量监督检验</w:t>
      </w:r>
      <w:r>
        <w:rPr>
          <w:rFonts w:hint="eastAsia"/>
          <w:spacing w:val="-11"/>
        </w:rPr>
        <w:t>平台</w:t>
      </w:r>
      <w:r>
        <w:rPr>
          <w:spacing w:val="-11"/>
        </w:rPr>
        <w:t>、产业计量测试</w:t>
      </w:r>
      <w:r>
        <w:rPr>
          <w:rFonts w:hint="eastAsia"/>
          <w:spacing w:val="-11"/>
        </w:rPr>
        <w:t>平台</w:t>
      </w:r>
      <w:r>
        <w:t>，鼓励建立集研发设计、计量测试、质量管理、标准研制和知识产权运用等功能于一体的综合性服务平台。</w:t>
      </w:r>
    </w:p>
    <w:p>
      <w:pPr>
        <w:overflowPunct w:val="0"/>
        <w:spacing w:line="600" w:lineRule="exact"/>
        <w:ind w:firstLine="643"/>
        <w:rPr>
          <w:b/>
          <w:bCs/>
        </w:rPr>
      </w:pPr>
      <w:r>
        <w:rPr>
          <w:b/>
          <w:bCs/>
        </w:rPr>
        <w:t>实施重点产品质量和品牌提升行动。</w:t>
      </w:r>
      <w:r>
        <w:t>开展重点产品与国内外高品质产品的执行标准和质量指标</w:t>
      </w:r>
      <w:r>
        <w:rPr>
          <w:rFonts w:hint="eastAsia"/>
        </w:rPr>
        <w:t>“</w:t>
      </w:r>
      <w:r>
        <w:t>双对比</w:t>
      </w:r>
      <w:r>
        <w:rPr>
          <w:rFonts w:hint="eastAsia"/>
        </w:rPr>
        <w:t>”“</w:t>
      </w:r>
      <w:r>
        <w:t>双提升</w:t>
      </w:r>
      <w:r>
        <w:rPr>
          <w:rFonts w:hint="eastAsia"/>
        </w:rPr>
        <w:t>”</w:t>
      </w:r>
      <w:r>
        <w:t>，完善产业链标准体系、质量管理体系和知识产权管理体系。围绕重点产品设立</w:t>
      </w:r>
      <w:r>
        <w:rPr>
          <w:rFonts w:hint="eastAsia"/>
        </w:rPr>
        <w:t>“</w:t>
      </w:r>
      <w:r>
        <w:t>产品医院</w:t>
      </w:r>
      <w:r>
        <w:rPr>
          <w:rFonts w:hint="eastAsia"/>
        </w:rPr>
        <w:t>”</w:t>
      </w:r>
      <w:r>
        <w:t>，提供</w:t>
      </w:r>
      <w:r>
        <w:rPr>
          <w:rFonts w:hint="eastAsia"/>
        </w:rPr>
        <w:t>“</w:t>
      </w:r>
      <w:r>
        <w:t>一站式</w:t>
      </w:r>
      <w:r>
        <w:rPr>
          <w:rFonts w:hint="eastAsia"/>
        </w:rPr>
        <w:t>”</w:t>
      </w:r>
      <w:r>
        <w:t>质量基础设施协同服务。制定中小微企业质量管理指南和卓越绩效评价准则。实施商标品牌培育计划，开展重点产品质量提升专项行动，推荐、培育一批国</w:t>
      </w:r>
      <w:r>
        <w:rPr>
          <w:spacing w:val="4"/>
        </w:rPr>
        <w:t>家级实施商标品牌战略示范企业。</w:t>
      </w:r>
      <w:r>
        <w:rPr>
          <w:b/>
          <w:bCs/>
        </w:rPr>
        <w:br w:type="page"/>
      </w:r>
    </w:p>
    <w:p>
      <w:pPr>
        <w:pStyle w:val="4"/>
        <w:overflowPunct w:val="0"/>
        <w:rPr>
          <w:rFonts w:ascii="方正小标宋_GBK" w:eastAsia="方正小标宋_GBK"/>
          <w:sz w:val="36"/>
          <w:szCs w:val="36"/>
        </w:rPr>
      </w:pPr>
      <w:bookmarkStart w:id="89" w:name="_Toc18344"/>
      <w:bookmarkStart w:id="90" w:name="_Toc30253"/>
      <w:bookmarkStart w:id="91" w:name="_Toc30104"/>
      <w:bookmarkStart w:id="92" w:name="_Toc1069"/>
      <w:r>
        <w:rPr>
          <w:rFonts w:hint="eastAsia" w:ascii="方正小标宋_GBK" w:eastAsia="方正小标宋_GBK"/>
          <w:sz w:val="36"/>
          <w:szCs w:val="36"/>
        </w:rPr>
        <w:t>第五章  大力推动数字化发展 赋能国内一流城市建设</w:t>
      </w:r>
      <w:bookmarkEnd w:id="89"/>
      <w:bookmarkEnd w:id="90"/>
      <w:bookmarkEnd w:id="91"/>
      <w:bookmarkEnd w:id="92"/>
    </w:p>
    <w:p>
      <w:pPr>
        <w:overflowPunct w:val="0"/>
        <w:spacing w:line="600" w:lineRule="exact"/>
        <w:ind w:firstLine="640"/>
      </w:pPr>
    </w:p>
    <w:p>
      <w:pPr>
        <w:overflowPunct w:val="0"/>
        <w:spacing w:line="600" w:lineRule="exact"/>
        <w:ind w:firstLine="640"/>
      </w:pPr>
      <w:r>
        <w:t>深入实施数字</w:t>
      </w:r>
      <w:r>
        <w:rPr>
          <w:rFonts w:hint="eastAsia"/>
        </w:rPr>
        <w:t>中国</w:t>
      </w:r>
      <w:r>
        <w:t>发展战略，加快经济社会全面数字化发展步伐，推动传统产业数字化、智能化升级，培育新业态新模式，全</w:t>
      </w:r>
      <w:r>
        <w:rPr>
          <w:spacing w:val="-2"/>
        </w:rPr>
        <w:t>面塑造数字化发展新优势，深度赋能</w:t>
      </w:r>
      <w:r>
        <w:rPr>
          <w:rFonts w:hint="eastAsia"/>
          <w:spacing w:val="-2"/>
        </w:rPr>
        <w:t>更加幸福</w:t>
      </w:r>
      <w:r>
        <w:rPr>
          <w:spacing w:val="-2"/>
        </w:rPr>
        <w:t>国内一流城市建设。</w:t>
      </w:r>
    </w:p>
    <w:p>
      <w:pPr>
        <w:overflowPunct w:val="0"/>
        <w:spacing w:line="600" w:lineRule="exact"/>
        <w:ind w:firstLine="640"/>
      </w:pPr>
    </w:p>
    <w:p>
      <w:pPr>
        <w:pStyle w:val="5"/>
        <w:overflowPunct w:val="0"/>
        <w:spacing w:line="600" w:lineRule="exact"/>
      </w:pPr>
      <w:bookmarkStart w:id="93" w:name="_Toc18523"/>
      <w:bookmarkStart w:id="94" w:name="_Toc16440"/>
      <w:bookmarkStart w:id="95" w:name="_Toc1779"/>
      <w:bookmarkStart w:id="96" w:name="_Toc16106"/>
      <w:r>
        <w:t xml:space="preserve">第一节  </w:t>
      </w:r>
      <w:r>
        <w:rPr>
          <w:rFonts w:hint="eastAsia"/>
        </w:rPr>
        <w:t>大力发展数字经济</w:t>
      </w:r>
      <w:bookmarkEnd w:id="93"/>
      <w:bookmarkEnd w:id="94"/>
      <w:bookmarkEnd w:id="95"/>
      <w:bookmarkEnd w:id="96"/>
    </w:p>
    <w:p>
      <w:pPr>
        <w:overflowPunct w:val="0"/>
        <w:spacing w:line="600" w:lineRule="exact"/>
        <w:ind w:firstLine="643"/>
      </w:pPr>
      <w:r>
        <w:rPr>
          <w:b/>
          <w:bCs/>
        </w:rPr>
        <w:t>大力推进数字产业化。</w:t>
      </w:r>
      <w:r>
        <w:t>创新发展新一代电子信息制造业和信息技术服务业等数字产业，统筹布局一批高水平数字产业园区。推动5G、大数据、人工智能、工业互联网、区块链、信息网络安全、信息技术应用创新等数字产业发展，培育半导体及集成电路新兴产业，提升数字产业基础。通过数字技术催生新产业，加快培育数字化新业态，利用互联网整合线上线下资源，支持平台经济、共享经济、众包众创、个性化定制</w:t>
      </w:r>
      <w:r>
        <w:rPr>
          <w:rFonts w:hint="eastAsia"/>
        </w:rPr>
        <w:t>、柔性制造</w:t>
      </w:r>
      <w:r>
        <w:t>等，建设全省领先的数字产业集聚区。</w:t>
      </w:r>
    </w:p>
    <w:p>
      <w:pPr>
        <w:overflowPunct w:val="0"/>
        <w:spacing w:line="600" w:lineRule="exact"/>
        <w:ind w:firstLine="643"/>
      </w:pPr>
      <w:r>
        <w:rPr>
          <w:b/>
          <w:bCs/>
        </w:rPr>
        <w:t>积极推动产业数字化。</w:t>
      </w:r>
      <w:r>
        <w:t>聚焦战略性支柱产业和新兴产业集群，深入推动数字化、智能化、网络化转型，利用数字技术全方位、全角度、全链条赋能传统产业，提升全要素生产率。大力发展智能制造，实施工业互联网创新发展战略，支持工业机器人、传感器、超高清视频等发展，建设智能工厂、智能车间，发展普惠性</w:t>
      </w:r>
      <w:r>
        <w:rPr>
          <w:rFonts w:hint="eastAsia"/>
        </w:rPr>
        <w:t>“</w:t>
      </w:r>
      <w:r>
        <w:t>上云用数赋智</w:t>
      </w:r>
      <w:r>
        <w:rPr>
          <w:rFonts w:hint="eastAsia"/>
        </w:rPr>
        <w:t>”</w:t>
      </w:r>
      <w:r>
        <w:t>。推动省级</w:t>
      </w:r>
      <w:r>
        <w:rPr>
          <w:rFonts w:hint="eastAsia"/>
        </w:rPr>
        <w:t>“</w:t>
      </w:r>
      <w:r>
        <w:t>5G+工业互联网应用示范园区</w:t>
      </w:r>
      <w:r>
        <w:rPr>
          <w:rFonts w:hint="eastAsia"/>
        </w:rPr>
        <w:t>”</w:t>
      </w:r>
      <w:r>
        <w:t>建设，打造一批工业互联网标杆示范项目，在石化、智能家电、动力电池、汽车电子、印刷线路板等领域推广工业互联网创新应用。抢抓智能网联新能源汽车发展机遇，重点推动汽车电子数字化转型，推进新能源汽车产业集群建设。积极推动服务业数字化发展，</w:t>
      </w:r>
      <w:r>
        <w:rPr>
          <w:color w:val="000000"/>
        </w:rPr>
        <w:t>发展服务贸易新业态新模式</w:t>
      </w:r>
      <w:r>
        <w:t>。加快发展数字农业，普及农业智能化生产、网络化经营，推进农业生产、农产品加工和流通环节数字化转型，以电商助力农产品出村进城。</w:t>
      </w:r>
    </w:p>
    <w:p>
      <w:pPr>
        <w:overflowPunct w:val="0"/>
        <w:spacing w:line="600" w:lineRule="exact"/>
        <w:ind w:firstLine="643"/>
      </w:pPr>
      <w:r>
        <w:rPr>
          <w:b/>
          <w:bCs/>
        </w:rPr>
        <w:t>发展大数据及信息服务业。</w:t>
      </w:r>
      <w:r>
        <w:t>高标准规划建设粤港澳大湾区（惠州）数据产业园，支持龙门规划建设大数据和软件信息服务园区。积极引进培育大数据交易平台、云计算、大数据、人工智能等领域企业，重点提供大数据分析、云软件服务，以及面向云计算系统开发、部署、运维需求的云计算信息系统服务。深化数据资源集成、清洗、脱敏、建模、分析等大数据服务应用，推动数据资源流通交易、成熟度评估、标准验证、测评认证等数据服务向政务、工业、医疗、教育等重点领域延伸拓展。</w:t>
      </w:r>
    </w:p>
    <w:p>
      <w:pPr>
        <w:overflowPunct w:val="0"/>
        <w:spacing w:line="600" w:lineRule="exact"/>
        <w:ind w:firstLine="643"/>
      </w:pPr>
      <w:r>
        <w:rPr>
          <w:b/>
          <w:bCs/>
        </w:rPr>
        <w:t>打造数字应用示范新场景。</w:t>
      </w:r>
      <w:r>
        <w:t>支持企业运用5G、大数据、人工智能、区块链等技术与产业、商贸、交通、医疗、教育、金融、政务、文旅等领域融合应用，建设一批应用示范新场景，开展信息消费和服务，发展</w:t>
      </w:r>
      <w:r>
        <w:rPr>
          <w:rFonts w:hint="eastAsia"/>
        </w:rPr>
        <w:t>“</w:t>
      </w:r>
      <w:r>
        <w:t>在线、智能、交互</w:t>
      </w:r>
      <w:r>
        <w:rPr>
          <w:rFonts w:hint="eastAsia"/>
        </w:rPr>
        <w:t>”</w:t>
      </w:r>
      <w:r>
        <w:t>为主要特征的新技术、新业态、新模式。探索推动在政务、公安、应急管理、电网、高速公路、石化、园区等重点行业试点5G专网工作。鼓励支持企业运用直播经济、在线消费、</w:t>
      </w:r>
      <w:r>
        <w:rPr>
          <w:rFonts w:hint="eastAsia"/>
        </w:rPr>
        <w:t>“</w:t>
      </w:r>
      <w:r>
        <w:t>宅经济</w:t>
      </w:r>
      <w:r>
        <w:rPr>
          <w:rFonts w:hint="eastAsia"/>
        </w:rPr>
        <w:t>”</w:t>
      </w:r>
      <w:r>
        <w:t>等新模式。</w:t>
      </w:r>
    </w:p>
    <w:p>
      <w:pPr>
        <w:pStyle w:val="5"/>
        <w:overflowPunct w:val="0"/>
        <w:spacing w:line="600" w:lineRule="exact"/>
      </w:pPr>
      <w:bookmarkStart w:id="97" w:name="_Toc22850"/>
      <w:bookmarkStart w:id="98" w:name="_Toc12864"/>
      <w:bookmarkStart w:id="99" w:name="_Toc11381"/>
      <w:bookmarkStart w:id="100" w:name="_Toc15797"/>
      <w:r>
        <w:rPr>
          <w:rFonts w:hint="eastAsia"/>
        </w:rPr>
        <w:t>第二节  加快数字社会建设步伐</w:t>
      </w:r>
      <w:bookmarkEnd w:id="97"/>
      <w:bookmarkEnd w:id="98"/>
      <w:bookmarkEnd w:id="99"/>
      <w:bookmarkEnd w:id="100"/>
    </w:p>
    <w:p>
      <w:pPr>
        <w:overflowPunct w:val="0"/>
        <w:spacing w:line="600" w:lineRule="exact"/>
        <w:ind w:firstLine="643"/>
      </w:pPr>
      <w:r>
        <w:rPr>
          <w:b/>
          <w:bCs/>
        </w:rPr>
        <w:t>拓展数字化公共服务。</w:t>
      </w:r>
      <w:r>
        <w:rPr>
          <w:rFonts w:hint="eastAsia"/>
        </w:rPr>
        <w:t>聚焦教育、医疗、养老、抚幼、就业、文体、助残等重点领域，</w:t>
      </w:r>
      <w:r>
        <w:t>打造智能便捷的数字化公共服务体系，</w:t>
      </w:r>
      <w:r>
        <w:rPr>
          <w:rFonts w:hint="eastAsia"/>
        </w:rPr>
        <w:t>推动数字化服务普惠应用，持续提升群众获得感。</w:t>
      </w:r>
      <w:r>
        <w:t>加强政府、企业、社会等各类信息系统业务协同、数据联动，运用数字技术解决社会公共问题。开展全民数字素养提升行动，加强数字技能普及培训，积极营造数字文化氛围。</w:t>
      </w:r>
    </w:p>
    <w:p>
      <w:pPr>
        <w:overflowPunct w:val="0"/>
        <w:spacing w:line="600" w:lineRule="exact"/>
        <w:ind w:firstLine="643"/>
      </w:pPr>
      <w:r>
        <w:rPr>
          <w:b/>
          <w:bCs/>
        </w:rPr>
        <w:t>积极有序推进智慧城市建设。</w:t>
      </w:r>
      <w:r>
        <w:t>加强智慧城市顶层框架设计，强化数字技术在城市规划、建设、治理和服务等领域的应用。按需有序集约建设</w:t>
      </w:r>
      <w:r>
        <w:rPr>
          <w:rFonts w:hint="eastAsia"/>
        </w:rPr>
        <w:t>“</w:t>
      </w:r>
      <w:r>
        <w:t>城市智脑</w:t>
      </w:r>
      <w:r>
        <w:rPr>
          <w:rFonts w:hint="eastAsia"/>
        </w:rPr>
        <w:t>”</w:t>
      </w:r>
      <w:r>
        <w:t>，重点推进智慧交通、智慧停车、智慧城管、智慧医院、智慧校园、智慧社区等领域建设，提升城市管理科学化、精细化、智能化水平。探索构建数字孪生城市，实现实体城市向数字空间的全息投影，增强城市治理灵敏感知、快速分析、迅捷处置能力。探索政府引导、市场化建设运营的模式，鼓励社会多方参与建设运营，推广和普及智慧场景应用。</w:t>
      </w:r>
    </w:p>
    <w:p>
      <w:pPr>
        <w:overflowPunct w:val="0"/>
        <w:spacing w:line="600" w:lineRule="exact"/>
        <w:ind w:firstLine="643"/>
      </w:pPr>
      <w:r>
        <w:rPr>
          <w:b/>
          <w:bCs/>
        </w:rPr>
        <w:t>推动数字乡村建设。</w:t>
      </w:r>
      <w:r>
        <w:t>积极推进农村信息基础设施建设，</w:t>
      </w:r>
      <w:r>
        <w:rPr>
          <w:rFonts w:hint="eastAsia"/>
        </w:rPr>
        <w:t>推进行政村5G网络建设和4G网络优化，</w:t>
      </w:r>
      <w:r>
        <w:t>扩大光纤网、宽带网在农村的有效覆盖。</w:t>
      </w:r>
      <w:r>
        <w:rPr>
          <w:rFonts w:hint="eastAsia"/>
        </w:rPr>
        <w:t>探索开展乡村“4K超高清视频+5G”应用试点示范，有序推进农村有线数字广播电视网络与5G网络融合网建设。</w:t>
      </w:r>
      <w:r>
        <w:t>构建涉农信息普惠服务机制，加快农村管理服务、基层治理数字进程，提升农民生活数字化服务水平。</w:t>
      </w:r>
    </w:p>
    <w:p>
      <w:pPr>
        <w:overflowPunct w:val="0"/>
        <w:spacing w:line="600" w:lineRule="exact"/>
        <w:ind w:firstLine="640"/>
      </w:pPr>
    </w:p>
    <w:p>
      <w:pPr>
        <w:pStyle w:val="5"/>
        <w:overflowPunct w:val="0"/>
        <w:spacing w:line="600" w:lineRule="exact"/>
      </w:pPr>
      <w:bookmarkStart w:id="101" w:name="_Toc5788"/>
      <w:bookmarkStart w:id="102" w:name="_Toc12605"/>
      <w:bookmarkStart w:id="103" w:name="_Toc22929"/>
      <w:bookmarkStart w:id="104" w:name="_Toc29124"/>
      <w:r>
        <w:rPr>
          <w:rFonts w:hint="eastAsia"/>
        </w:rPr>
        <w:t>第三节  建设更高水平数字政府</w:t>
      </w:r>
      <w:bookmarkEnd w:id="101"/>
      <w:bookmarkEnd w:id="102"/>
      <w:bookmarkEnd w:id="103"/>
      <w:bookmarkEnd w:id="104"/>
    </w:p>
    <w:p>
      <w:pPr>
        <w:overflowPunct w:val="0"/>
        <w:spacing w:line="600" w:lineRule="exact"/>
        <w:ind w:firstLine="643"/>
      </w:pPr>
      <w:r>
        <w:rPr>
          <w:b/>
          <w:bCs/>
        </w:rPr>
        <w:t>推进一体化政务信息平台建设。</w:t>
      </w:r>
      <w:r>
        <w:t>按照省统一部署，打破信息孤岛，加快推进建设统一接入的数据共享平台、政务服务平台、协同办公平台，实现跨层级、跨地域、跨系统、跨部门、跨业务协同管理和服务，建成横向到边、纵向到底全覆盖的</w:t>
      </w:r>
      <w:r>
        <w:rPr>
          <w:rFonts w:hint="eastAsia"/>
        </w:rPr>
        <w:t>“</w:t>
      </w:r>
      <w:r>
        <w:t>数字政府</w:t>
      </w:r>
      <w:r>
        <w:rPr>
          <w:rFonts w:hint="eastAsia"/>
        </w:rPr>
        <w:t>”</w:t>
      </w:r>
      <w:r>
        <w:t>。加快推动政务流程全面优化、数字化再造，构建网络化一体化的现代政府治理新形态。推进</w:t>
      </w:r>
      <w:r>
        <w:rPr>
          <w:rFonts w:hint="eastAsia"/>
        </w:rPr>
        <w:t>“</w:t>
      </w:r>
      <w:r>
        <w:t>数据上云、业务下沉</w:t>
      </w:r>
      <w:r>
        <w:rPr>
          <w:rFonts w:hint="eastAsia"/>
        </w:rPr>
        <w:t>”</w:t>
      </w:r>
      <w:r>
        <w:t>，加强基层公共服务平台建设。</w:t>
      </w:r>
    </w:p>
    <w:p>
      <w:pPr>
        <w:overflowPunct w:val="0"/>
        <w:spacing w:line="600" w:lineRule="exact"/>
        <w:ind w:firstLine="643"/>
      </w:pPr>
      <w:r>
        <w:rPr>
          <w:b/>
          <w:bCs/>
        </w:rPr>
        <w:t>大力提升数字政务服务水平。</w:t>
      </w:r>
      <w:r>
        <w:t>进一步拓展</w:t>
      </w:r>
      <w:r>
        <w:rPr>
          <w:rFonts w:hint="eastAsia"/>
        </w:rPr>
        <w:t>“</w:t>
      </w:r>
      <w:r>
        <w:t>互联网+政务服务</w:t>
      </w:r>
      <w:r>
        <w:rPr>
          <w:rFonts w:hint="eastAsia"/>
        </w:rPr>
        <w:t>”</w:t>
      </w:r>
      <w:r>
        <w:t>，强化电子证照、电子印章、电子签名等基础平台支撑，推动更多民生服务事项</w:t>
      </w:r>
      <w:r>
        <w:rPr>
          <w:rFonts w:hint="eastAsia"/>
        </w:rPr>
        <w:t>“</w:t>
      </w:r>
      <w:r>
        <w:t>一网通办</w:t>
      </w:r>
      <w:r>
        <w:rPr>
          <w:rFonts w:hint="eastAsia"/>
        </w:rPr>
        <w:t>”</w:t>
      </w:r>
      <w:r>
        <w:t>、更多涉企服务事项</w:t>
      </w:r>
      <w:r>
        <w:rPr>
          <w:rFonts w:hint="eastAsia"/>
        </w:rPr>
        <w:t>“</w:t>
      </w:r>
      <w:r>
        <w:t>一站式</w:t>
      </w:r>
      <w:r>
        <w:rPr>
          <w:rFonts w:hint="eastAsia"/>
        </w:rPr>
        <w:t>”</w:t>
      </w:r>
      <w:r>
        <w:t>办理和</w:t>
      </w:r>
      <w:r>
        <w:rPr>
          <w:rFonts w:hint="eastAsia"/>
        </w:rPr>
        <w:t>“</w:t>
      </w:r>
      <w:r>
        <w:t>不见面</w:t>
      </w:r>
      <w:r>
        <w:rPr>
          <w:rFonts w:hint="eastAsia"/>
        </w:rPr>
        <w:t>”</w:t>
      </w:r>
      <w:r>
        <w:t>审批。提升</w:t>
      </w:r>
      <w:r>
        <w:rPr>
          <w:rFonts w:hint="eastAsia"/>
        </w:rPr>
        <w:t>“</w:t>
      </w:r>
      <w:r>
        <w:t>粤省事</w:t>
      </w:r>
      <w:r>
        <w:rPr>
          <w:rFonts w:hint="eastAsia"/>
        </w:rPr>
        <w:t>”“</w:t>
      </w:r>
      <w:r>
        <w:t>粤商通</w:t>
      </w:r>
      <w:r>
        <w:rPr>
          <w:rFonts w:hint="eastAsia"/>
        </w:rPr>
        <w:t>”</w:t>
      </w:r>
      <w:r>
        <w:t>进驻率，扩大</w:t>
      </w:r>
      <w:r>
        <w:rPr>
          <w:rFonts w:hint="eastAsia"/>
        </w:rPr>
        <w:t>“</w:t>
      </w:r>
      <w:r>
        <w:t>智慧批</w:t>
      </w:r>
      <w:r>
        <w:rPr>
          <w:rFonts w:hint="eastAsia"/>
        </w:rPr>
        <w:t>”“</w:t>
      </w:r>
      <w:r>
        <w:t>湾区通办</w:t>
      </w:r>
      <w:r>
        <w:rPr>
          <w:rFonts w:hint="eastAsia"/>
        </w:rPr>
        <w:t>”</w:t>
      </w:r>
      <w:r>
        <w:t>范围，完善市、县、乡镇综合性政务大厅集中服务模式，推进线上线下全面融合，持续改进</w:t>
      </w:r>
      <w:r>
        <w:rPr>
          <w:rFonts w:hint="eastAsia"/>
        </w:rPr>
        <w:t>“</w:t>
      </w:r>
      <w:r>
        <w:t>一窗通办、一窗通取</w:t>
      </w:r>
      <w:r>
        <w:rPr>
          <w:rFonts w:hint="eastAsia"/>
        </w:rPr>
        <w:t>”</w:t>
      </w:r>
      <w:r>
        <w:t>服务，提升指尖办、全天办、即时办、就近办、马上办、全域通办的覆盖率。</w:t>
      </w:r>
    </w:p>
    <w:p>
      <w:pPr>
        <w:overflowPunct w:val="0"/>
        <w:spacing w:line="600" w:lineRule="exact"/>
        <w:ind w:firstLine="643"/>
      </w:pPr>
      <w:r>
        <w:rPr>
          <w:b/>
          <w:bCs/>
        </w:rPr>
        <w:t>提升数字治理能力。</w:t>
      </w:r>
      <w:r>
        <w:t>建立健全</w:t>
      </w:r>
      <w:r>
        <w:rPr>
          <w:rFonts w:hint="eastAsia"/>
        </w:rPr>
        <w:t>“</w:t>
      </w:r>
      <w:r>
        <w:t>数据驱动</w:t>
      </w:r>
      <w:r>
        <w:rPr>
          <w:rFonts w:hint="eastAsia"/>
        </w:rPr>
        <w:t>”</w:t>
      </w:r>
      <w:r>
        <w:t>的政府</w:t>
      </w:r>
      <w:r>
        <w:rPr>
          <w:rFonts w:hint="eastAsia"/>
        </w:rPr>
        <w:t>数字化治理新模式</w:t>
      </w:r>
      <w:r>
        <w:t>，提升政府决策精确性，实现精细化管理</w:t>
      </w:r>
      <w:r>
        <w:rPr>
          <w:rFonts w:hint="eastAsia"/>
        </w:rPr>
        <w:t>，提升市政务大数据中心平台支撑能力，将网络安全贯穿建设、运维全过程，打造高效可靠的政务云和政务网。</w:t>
      </w:r>
      <w:r>
        <w:t>完善智能化数据监管体系，推行包容审慎监管和柔性监管。探索构建政府、平台企业、行业协会等多方参与、高效联动、信息共享的数字经济多元协同治理机制。优化平台经济发展政策环境，加强对数字经济的统计监测和评估</w:t>
      </w:r>
      <w:r>
        <w:rPr>
          <w:rFonts w:hint="eastAsia"/>
        </w:rPr>
        <w:t>，推动平台经济规范健康持续发展</w:t>
      </w:r>
      <w:r>
        <w:t>。</w:t>
      </w:r>
    </w:p>
    <w:p>
      <w:pPr>
        <w:overflowPunct w:val="0"/>
        <w:spacing w:line="600" w:lineRule="exact"/>
        <w:ind w:firstLine="640"/>
      </w:pPr>
    </w:p>
    <w:p>
      <w:pPr>
        <w:pStyle w:val="5"/>
        <w:overflowPunct w:val="0"/>
        <w:spacing w:line="600" w:lineRule="exact"/>
      </w:pPr>
      <w:bookmarkStart w:id="105" w:name="_Toc18012"/>
      <w:bookmarkStart w:id="106" w:name="_Toc14349"/>
      <w:bookmarkStart w:id="107" w:name="_Toc18935"/>
      <w:bookmarkStart w:id="108" w:name="_Toc13612"/>
      <w:r>
        <w:rPr>
          <w:rFonts w:hint="eastAsia"/>
        </w:rPr>
        <w:t xml:space="preserve">第四节  </w:t>
      </w:r>
      <w:bookmarkEnd w:id="105"/>
      <w:r>
        <w:rPr>
          <w:rFonts w:hint="eastAsia"/>
        </w:rPr>
        <w:t>优化数据要素配置体系</w:t>
      </w:r>
      <w:bookmarkEnd w:id="106"/>
      <w:bookmarkEnd w:id="107"/>
      <w:bookmarkEnd w:id="108"/>
    </w:p>
    <w:p>
      <w:pPr>
        <w:overflowPunct w:val="0"/>
        <w:spacing w:line="600" w:lineRule="exact"/>
        <w:ind w:firstLine="643"/>
      </w:pPr>
      <w:r>
        <w:rPr>
          <w:b/>
          <w:bCs/>
        </w:rPr>
        <w:t>扩大基础公共信息数据有序开放。</w:t>
      </w:r>
      <w:r>
        <w:t>加强政务公开，依托国家和省数据开放共享平台，丰富完善经济社会基础数据库，完善政府数据开放共享体系。建立公共数据开放</w:t>
      </w:r>
      <w:r>
        <w:rPr>
          <w:rFonts w:hint="eastAsia"/>
        </w:rPr>
        <w:t>“</w:t>
      </w:r>
      <w:r>
        <w:t>负面清单</w:t>
      </w:r>
      <w:r>
        <w:rPr>
          <w:rFonts w:hint="eastAsia"/>
        </w:rPr>
        <w:t>”</w:t>
      </w:r>
      <w:r>
        <w:t>，加强公共数据分级分类管理，有序推进企业登记、交通运输、气象等公共数据有序开放。持续推进政务数据治理，开展数据要素市场监管执法，打击数据垄断、数据欺诈和数据不正当竞争行为。</w:t>
      </w:r>
    </w:p>
    <w:p>
      <w:pPr>
        <w:overflowPunct w:val="0"/>
        <w:spacing w:line="600" w:lineRule="exact"/>
        <w:ind w:firstLine="643"/>
      </w:pPr>
      <w:r>
        <w:rPr>
          <w:b/>
          <w:bCs/>
        </w:rPr>
        <w:t>推动数据要素优化配置。</w:t>
      </w:r>
      <w:r>
        <w:t>推动公共数据与企业数据深度对接，规范数据开发利用场景，提升社会数据资源价值。</w:t>
      </w:r>
      <w:r>
        <w:rPr>
          <w:rFonts w:hint="eastAsia"/>
        </w:rPr>
        <w:t>探索开展政务数据授权运营工作，</w:t>
      </w:r>
      <w:r>
        <w:t>依托正在建设的数据中心，争取建立数据交易</w:t>
      </w:r>
      <w:r>
        <w:rPr>
          <w:rFonts w:hint="eastAsia"/>
        </w:rPr>
        <w:t>平台</w:t>
      </w:r>
      <w:r>
        <w:t>，研究建立数据交易机制，推动数据资产评估、定价、交易、质押、抵押，鼓励数据资源合规交易、有序流通、高效利用。</w:t>
      </w:r>
    </w:p>
    <w:p>
      <w:pPr>
        <w:overflowPunct w:val="0"/>
        <w:ind w:firstLine="643"/>
      </w:pPr>
      <w:r>
        <w:rPr>
          <w:b/>
          <w:bCs/>
        </w:rPr>
        <w:t>加强数据资源安全保护。</w:t>
      </w:r>
      <w:r>
        <w:t>建立政府和企业数据安全信息共享机制，制定数据隐私保护、安全审查、风险评估、日常监管等管理制度，提升全天候全方位安全态势感知和持续防护能力。加强金融、能源、通信、交通等领域关键信息基础设施安全保护。完善数据分类分级安全保护制度，制定数据隐私保护和安全审查制度，运用数字签名、加密接口鉴权等数据保护措施和区块链等技术，加强政务数据、企业商业秘密和个人信息保护。</w:t>
      </w:r>
    </w:p>
    <w:p>
      <w:pPr>
        <w:overflowPunct w:val="0"/>
        <w:spacing w:line="600" w:lineRule="exact"/>
        <w:ind w:firstLine="643"/>
        <w:rPr>
          <w:b/>
          <w:bCs/>
        </w:rPr>
      </w:pPr>
      <w:r>
        <w:rPr>
          <w:b/>
          <w:bCs/>
        </w:rPr>
        <w:br w:type="page"/>
      </w:r>
    </w:p>
    <w:p>
      <w:pPr>
        <w:pStyle w:val="4"/>
        <w:overflowPunct w:val="0"/>
        <w:rPr>
          <w:rFonts w:ascii="方正小标宋_GBK" w:eastAsia="方正小标宋_GBK"/>
          <w:sz w:val="36"/>
          <w:szCs w:val="36"/>
        </w:rPr>
      </w:pPr>
      <w:bookmarkStart w:id="109" w:name="_Toc15187"/>
      <w:bookmarkStart w:id="110" w:name="_Toc27140"/>
      <w:bookmarkStart w:id="111" w:name="_Toc8553"/>
      <w:bookmarkStart w:id="112" w:name="_Toc14736"/>
      <w:r>
        <w:rPr>
          <w:rFonts w:hint="eastAsia" w:ascii="方正小标宋_GBK" w:eastAsia="方正小标宋_GBK"/>
          <w:sz w:val="36"/>
          <w:szCs w:val="36"/>
        </w:rPr>
        <w:t>第六章  建设现代化基础设施体系 支撑跨越式发展</w:t>
      </w:r>
      <w:bookmarkEnd w:id="109"/>
      <w:bookmarkEnd w:id="110"/>
      <w:bookmarkEnd w:id="111"/>
      <w:bookmarkEnd w:id="112"/>
    </w:p>
    <w:p>
      <w:pPr>
        <w:overflowPunct w:val="0"/>
        <w:spacing w:line="600" w:lineRule="exact"/>
        <w:ind w:firstLine="640"/>
      </w:pPr>
    </w:p>
    <w:p>
      <w:pPr>
        <w:overflowPunct w:val="0"/>
        <w:spacing w:line="600" w:lineRule="exact"/>
        <w:ind w:firstLine="640"/>
      </w:pPr>
      <w:r>
        <w:t>以整体优化、协同高效、融合创新为导向，统筹存量和增量、传统和新型基础设施发展，打造系统完备、高效实用、智能绿色、安全可靠的现代化基础设施体系，增强基础设施枢纽功能，构筑跨越式发展支撑体系。</w:t>
      </w:r>
    </w:p>
    <w:p>
      <w:pPr>
        <w:overflowPunct w:val="0"/>
        <w:spacing w:line="600" w:lineRule="exact"/>
        <w:ind w:firstLine="640"/>
      </w:pPr>
    </w:p>
    <w:p>
      <w:pPr>
        <w:pStyle w:val="5"/>
        <w:overflowPunct w:val="0"/>
        <w:spacing w:line="600" w:lineRule="exact"/>
      </w:pPr>
      <w:bookmarkStart w:id="113" w:name="_Toc813"/>
      <w:bookmarkStart w:id="114" w:name="_Toc4682"/>
      <w:bookmarkStart w:id="115" w:name="_Toc4253"/>
      <w:bookmarkStart w:id="116" w:name="_Toc27858"/>
      <w:r>
        <w:t xml:space="preserve">第一节  </w:t>
      </w:r>
      <w:r>
        <w:rPr>
          <w:rFonts w:hint="eastAsia"/>
        </w:rPr>
        <w:t>建设</w:t>
      </w:r>
      <w:r>
        <w:t>综合交通运输体系</w:t>
      </w:r>
      <w:bookmarkEnd w:id="113"/>
      <w:bookmarkEnd w:id="114"/>
      <w:bookmarkEnd w:id="115"/>
      <w:bookmarkEnd w:id="116"/>
    </w:p>
    <w:p>
      <w:pPr>
        <w:overflowPunct w:val="0"/>
        <w:spacing w:line="600" w:lineRule="exact"/>
        <w:ind w:firstLine="643"/>
      </w:pPr>
      <w:r>
        <w:rPr>
          <w:b/>
          <w:bCs/>
        </w:rPr>
        <w:t>加快千万级干线机场建设。</w:t>
      </w:r>
      <w:r>
        <w:t>按照</w:t>
      </w:r>
      <w:r>
        <w:rPr>
          <w:rFonts w:hint="eastAsia"/>
        </w:rPr>
        <w:t>“</w:t>
      </w:r>
      <w:r>
        <w:t>一次规划、分步实施</w:t>
      </w:r>
      <w:r>
        <w:rPr>
          <w:rFonts w:hint="eastAsia"/>
        </w:rPr>
        <w:t>”</w:t>
      </w:r>
      <w:r>
        <w:t>的</w:t>
      </w:r>
      <w:r>
        <w:rPr>
          <w:spacing w:val="6"/>
        </w:rPr>
        <w:t>实施方案，加快惠州千万级干线机场建设。近期按照飞行区4E</w:t>
      </w:r>
      <w:r>
        <w:t>标准建设干线机场，新建第二跑道、航站楼及相关配套设施。完善机场集疏运体系，加强与轨道交通、高等级公路的规划对接，发挥深圳第二机场功能。积极拓展航线网络，争取开放空港口岸和开通国际航线。提升机场货运能力，在机场周边规划设立临空经济区，集聚发展临空产业。规划建设惠东通用机场，谋划博罗、龙门通用机场前期工作，满足多元化通航、海洋资源开发等飞行需求。</w:t>
      </w:r>
    </w:p>
    <w:p>
      <w:pPr>
        <w:overflowPunct w:val="0"/>
        <w:spacing w:line="600" w:lineRule="exact"/>
        <w:ind w:firstLine="643"/>
      </w:pPr>
      <w:r>
        <w:rPr>
          <w:b/>
          <w:bCs/>
        </w:rPr>
        <w:t>推动惠州港创新发展。</w:t>
      </w:r>
      <w:r>
        <w:t>科学修编惠州港总体规划，优化整合全市港口资源，增加公用码头比例，增强惠州港服务产业功能，完善水上客运功能，推动港口与产业、城市等联动发展，加快港口智慧化升级改造，打造粤港澳大湾区世界级港口群重要节点。加快</w:t>
      </w:r>
      <w:r>
        <w:rPr>
          <w:rFonts w:hint="eastAsia"/>
        </w:rPr>
        <w:t>惠州港荃湾港区荃美石化码头</w:t>
      </w:r>
      <w:r>
        <w:t>、恒力石化（惠州）通用码头、惠州港碧甲LNG接收站配套码头、荃湾港区10万吨级多用途码头，以及沿海航道扩能升级和东江内河航道等级提升等项目落地实施。建设完善仓储物流设施，提升船代、货代、报关、装卸等港口综合服务功能。推动</w:t>
      </w:r>
      <w:r>
        <w:rPr>
          <w:rFonts w:hint="eastAsia"/>
        </w:rPr>
        <w:t>“</w:t>
      </w:r>
      <w:r>
        <w:t>海陆空铁</w:t>
      </w:r>
      <w:r>
        <w:rPr>
          <w:rFonts w:hint="eastAsia"/>
        </w:rPr>
        <w:t>”</w:t>
      </w:r>
      <w:r>
        <w:t>多式联运无缝衔接，大力拓展与国内外主要城市港口的航运网络，加强惠州港与深圳</w:t>
      </w:r>
      <w:r>
        <w:rPr>
          <w:rFonts w:hint="eastAsia"/>
        </w:rPr>
        <w:t>、广州、东莞等</w:t>
      </w:r>
      <w:r>
        <w:t>港</w:t>
      </w:r>
      <w:r>
        <w:rPr>
          <w:rFonts w:hint="eastAsia"/>
        </w:rPr>
        <w:t>口</w:t>
      </w:r>
      <w:r>
        <w:t>联动发展，</w:t>
      </w:r>
      <w:r>
        <w:rPr>
          <w:rFonts w:hint="eastAsia"/>
        </w:rPr>
        <w:t>深化</w:t>
      </w:r>
      <w:r>
        <w:t>与深港澳汕合作，</w:t>
      </w:r>
      <w:r>
        <w:rPr>
          <w:rFonts w:hint="eastAsia"/>
        </w:rPr>
        <w:t>争取开通深惠汕海上客运航线，</w:t>
      </w:r>
      <w:r>
        <w:t>构建海上交通走廊。</w:t>
      </w:r>
    </w:p>
    <w:p>
      <w:pPr>
        <w:spacing w:line="240" w:lineRule="auto"/>
        <w:ind w:firstLine="640"/>
      </w:pPr>
    </w:p>
    <w:p>
      <w:pPr>
        <w:pStyle w:val="9"/>
        <w:overflowPunct w:val="0"/>
        <w:spacing w:line="240" w:lineRule="auto"/>
        <w:ind w:firstLine="0" w:firstLineChars="0"/>
        <w:jc w:val="center"/>
      </w:pPr>
      <w:r>
        <mc:AlternateContent>
          <mc:Choice Requires="wps">
            <w:drawing>
              <wp:anchor distT="0" distB="0" distL="114300" distR="114300" simplePos="0" relativeHeight="251659264" behindDoc="0" locked="0" layoutInCell="1" allowOverlap="1">
                <wp:simplePos x="0" y="0"/>
                <wp:positionH relativeFrom="column">
                  <wp:posOffset>4059555</wp:posOffset>
                </wp:positionH>
                <wp:positionV relativeFrom="paragraph">
                  <wp:posOffset>3253740</wp:posOffset>
                </wp:positionV>
                <wp:extent cx="1548130" cy="600710"/>
                <wp:effectExtent l="0" t="0" r="6350" b="8890"/>
                <wp:wrapNone/>
                <wp:docPr id="10" name="文本框 10"/>
                <wp:cNvGraphicFramePr/>
                <a:graphic xmlns:a="http://schemas.openxmlformats.org/drawingml/2006/main">
                  <a:graphicData uri="http://schemas.microsoft.com/office/word/2010/wordprocessingShape">
                    <wps:wsp>
                      <wps:cNvSpPr txBox="1"/>
                      <wps:spPr>
                        <a:xfrm>
                          <a:off x="5360670" y="7356475"/>
                          <a:ext cx="1548130" cy="6007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64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65pt;margin-top:256.2pt;height:47.3pt;width:121.9pt;z-index:251659264;mso-width-relative:page;mso-height-relative:page;" fillcolor="#FFFFFF [3201]" filled="t" stroked="f" coordsize="21600,21600" o:gfxdata="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QFe&#10;1gAAAAsBAAAPAAAAAAAAAAEAIAAAACIAAABkcnMvZG93bnJldi54bWxQSwECFAAUAAAACACHTuJA&#10;T1sSFFwCAACdBAAADgAAAAAAAAABACAAAAAlAQAAZHJzL2Uyb0RvYy54bWxQSwUGAAAAAAYABgBZ&#10;AQAA8wUAAAAA&#10;">
                <v:fill on="t" focussize="0,0"/>
                <v:stroke on="f" weight="0.5pt"/>
                <v:imagedata o:title=""/>
                <o:lock v:ext="edit" aspectratio="f"/>
                <v:textbox>
                  <w:txbxContent>
                    <w:p>
                      <w:pPr>
                        <w:ind w:firstLine="640"/>
                      </w:pPr>
                    </w:p>
                  </w:txbxContent>
                </v:textbox>
              </v:shape>
            </w:pict>
          </mc:Fallback>
        </mc:AlternateContent>
      </w:r>
      <w:r>
        <w:rPr>
          <w:rFonts w:hint="eastAsia"/>
        </w:rPr>
        <w:drawing>
          <wp:inline distT="0" distB="0" distL="0" distR="0">
            <wp:extent cx="5619750" cy="3872230"/>
            <wp:effectExtent l="9525" t="9525" r="9525" b="17145"/>
            <wp:docPr id="17" name="图片 9"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C:\Users\Administrator\Desktop\图片1.jpg图片1"/>
                    <pic:cNvPicPr>
                      <a:picLocks noChangeAspect="1" noChangeArrowheads="1"/>
                    </pic:cNvPicPr>
                  </pic:nvPicPr>
                  <pic:blipFill>
                    <a:blip r:embed="rId21">
                      <a:extLst>
                        <a:ext uri="{28A0092B-C50C-407E-A947-70E740481C1C}">
                          <a14:useLocalDpi xmlns:a14="http://schemas.microsoft.com/office/drawing/2010/main" val="0"/>
                        </a:ext>
                      </a:extLst>
                    </a:blip>
                    <a:srcRect l="1420" t="8436" r="2309" b="4385"/>
                    <a:stretch>
                      <a:fillRect/>
                    </a:stretch>
                  </pic:blipFill>
                  <pic:spPr>
                    <a:xfrm>
                      <a:off x="0" y="0"/>
                      <a:ext cx="5619750" cy="3872230"/>
                    </a:xfrm>
                    <a:prstGeom prst="rect">
                      <a:avLst/>
                    </a:prstGeom>
                    <a:noFill/>
                    <a:ln>
                      <a:solidFill>
                        <a:schemeClr val="tx1"/>
                      </a:solidFill>
                      <a:prstDash val="solid"/>
                    </a:ln>
                    <a:effectLst/>
                  </pic:spPr>
                </pic:pic>
              </a:graphicData>
            </a:graphic>
          </wp:inline>
        </w:drawing>
      </w:r>
    </w:p>
    <w:p>
      <w:pPr>
        <w:pStyle w:val="26"/>
      </w:pPr>
      <w:r>
        <w:rPr>
          <w:rFonts w:hint="eastAsia"/>
        </w:rPr>
        <w:t>图6 惠州沿海港口布局图</w:t>
      </w:r>
    </w:p>
    <w:p>
      <w:pPr>
        <w:spacing w:line="240" w:lineRule="auto"/>
        <w:ind w:firstLine="0" w:firstLineChars="0"/>
        <w:jc w:val="left"/>
      </w:pPr>
    </w:p>
    <w:p>
      <w:pPr>
        <w:overflowPunct w:val="0"/>
        <w:spacing w:line="600" w:lineRule="exact"/>
        <w:ind w:firstLine="643"/>
      </w:pPr>
      <w:r>
        <w:rPr>
          <w:b/>
          <w:bCs/>
        </w:rPr>
        <w:t>积极有序规划建设轨道交通。</w:t>
      </w:r>
      <w:r>
        <w:t>积极争取国家和省支持完善全市多层次轨道交通体系规划，加强与粤港澳大湾区、深圳都市圈等铁路规划有效衔接，全面深度融入</w:t>
      </w:r>
      <w:r>
        <w:rPr>
          <w:rFonts w:hint="eastAsia"/>
        </w:rPr>
        <w:t>“</w:t>
      </w:r>
      <w:r>
        <w:t>轨道上的大湾区</w:t>
      </w:r>
      <w:r>
        <w:rPr>
          <w:rFonts w:hint="eastAsia"/>
        </w:rPr>
        <w:t>”</w:t>
      </w:r>
      <w:r>
        <w:t>轨道交通网。建成赣深铁路、广汕铁路惠州段和莞惠城际小金口至惠州北段，高标准建成赣深铁路惠州北站、广汕铁路惠城南站高铁综合交通枢纽，推动深汕高铁惠州段建设。有序推进深惠城际坪地至沥林北规划建设，加快推进城际铁路公交化运营。开展惠大铁路电气化改造及惠州新材料产业园铁路专用线研究。</w:t>
      </w:r>
    </w:p>
    <w:p>
      <w:pPr>
        <w:spacing w:line="240" w:lineRule="auto"/>
        <w:ind w:firstLine="640"/>
      </w:pPr>
    </w:p>
    <w:p>
      <w:pPr>
        <w:pStyle w:val="9"/>
        <w:overflowPunct w:val="0"/>
        <w:spacing w:line="240" w:lineRule="auto"/>
        <w:ind w:firstLine="0" w:firstLineChars="0"/>
        <w:jc w:val="center"/>
      </w:pPr>
      <w:r>
        <w:rPr>
          <w:rFonts w:hint="eastAsia"/>
        </w:rPr>
        <w:drawing>
          <wp:inline distT="0" distB="0" distL="0" distR="0">
            <wp:extent cx="5645150" cy="3710940"/>
            <wp:effectExtent l="9525" t="9525" r="9525" b="13335"/>
            <wp:docPr id="18" name="图片 4" descr="d59bb99702d34ddc3c7c8a9fc659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59bb99702d34ddc3c7c8a9fc65982f"/>
                    <pic:cNvPicPr>
                      <a:picLocks noChangeAspect="1" noChangeArrowheads="1"/>
                    </pic:cNvPicPr>
                  </pic:nvPicPr>
                  <pic:blipFill>
                    <a:blip r:embed="rId22">
                      <a:extLst>
                        <a:ext uri="{28A0092B-C50C-407E-A947-70E740481C1C}">
                          <a14:useLocalDpi xmlns:a14="http://schemas.microsoft.com/office/drawing/2010/main" val="0"/>
                        </a:ext>
                      </a:extLst>
                    </a:blip>
                    <a:srcRect l="5619" t="11725" r="2551" b="1649"/>
                    <a:stretch>
                      <a:fillRect/>
                    </a:stretch>
                  </pic:blipFill>
                  <pic:spPr>
                    <a:xfrm>
                      <a:off x="0" y="0"/>
                      <a:ext cx="5645150" cy="3710940"/>
                    </a:xfrm>
                    <a:prstGeom prst="rect">
                      <a:avLst/>
                    </a:prstGeom>
                    <a:noFill/>
                    <a:ln>
                      <a:solidFill>
                        <a:schemeClr val="tx1"/>
                      </a:solidFill>
                      <a:prstDash val="solid"/>
                    </a:ln>
                  </pic:spPr>
                </pic:pic>
              </a:graphicData>
            </a:graphic>
          </wp:inline>
        </w:drawing>
      </w:r>
    </w:p>
    <w:p>
      <w:pPr>
        <w:pStyle w:val="26"/>
        <w:rPr>
          <w:rFonts w:eastAsia="仿宋_GB2312"/>
        </w:rPr>
      </w:pPr>
      <w:r>
        <w:rPr>
          <w:rFonts w:hint="eastAsia"/>
        </w:rPr>
        <w:t>图7 惠州市铁路线网规划示意图</w:t>
      </w:r>
    </w:p>
    <w:p>
      <w:pPr>
        <w:pStyle w:val="26"/>
        <w:overflowPunct w:val="0"/>
        <w:spacing w:line="300" w:lineRule="exact"/>
        <w:ind w:firstLine="640"/>
      </w:pPr>
    </w:p>
    <w:p>
      <w:pPr>
        <w:overflowPunct w:val="0"/>
        <w:spacing w:line="600" w:lineRule="exact"/>
        <w:ind w:firstLine="643"/>
      </w:pPr>
      <w:r>
        <w:rPr>
          <w:b/>
          <w:bCs/>
        </w:rPr>
        <w:t>加快高速路网建设。</w:t>
      </w:r>
      <w:r>
        <w:t>建成韶惠高速公路惠龙段，完成深汕西高速公路改扩建工程、广惠高速公路金龙互通（原长坑互通）项目建设。推进</w:t>
      </w:r>
      <w:r>
        <w:rPr>
          <w:rFonts w:hint="eastAsia"/>
        </w:rPr>
        <w:t>惠霞（</w:t>
      </w:r>
      <w:r>
        <w:t>惠湾</w:t>
      </w:r>
      <w:r>
        <w:rPr>
          <w:rFonts w:hint="eastAsia"/>
        </w:rPr>
        <w:t>）</w:t>
      </w:r>
      <w:r>
        <w:t>高速公路（含水口、惠东支线）、惠坪高速公路（含机场高速及新圩支线）、惠州至肇庆高速公路惠城至增城段（惠州沿江高速公路）、惠东环稔平半岛高速公路、长春至深圳国家高速公路河源热水至惠州平南段改扩建工程等项目建设。启动龙恺高速公路、广惠高速公路小金口至凌坑段扩建工程、惠深沿海高速公路惠州段改扩建工程、潮惠高速公路沥林至镇隆段改扩建工程、河惠汕高速公路惠州段等项目前期研究。力争到2025年全市高速公路总里程数达到1210公里。</w:t>
      </w:r>
    </w:p>
    <w:p>
      <w:pPr>
        <w:spacing w:line="240" w:lineRule="auto"/>
        <w:ind w:firstLine="640"/>
      </w:pPr>
    </w:p>
    <w:p>
      <w:pPr>
        <w:pStyle w:val="9"/>
        <w:overflowPunct w:val="0"/>
        <w:spacing w:line="240" w:lineRule="auto"/>
        <w:ind w:firstLine="0" w:firstLineChars="0"/>
        <w:jc w:val="center"/>
        <w:rPr>
          <w:rFonts w:ascii="Times New Roman" w:hAnsi="Times New Roman" w:cs="Times New Roman"/>
        </w:rPr>
      </w:pPr>
      <w:r>
        <w:rPr>
          <w:rFonts w:hint="eastAsia" w:ascii="Times New Roman" w:hAnsi="Times New Roman" w:cs="Times New Roman"/>
        </w:rPr>
        <w:drawing>
          <wp:inline distT="0" distB="0" distL="0" distR="0">
            <wp:extent cx="5648325" cy="4050030"/>
            <wp:effectExtent l="9525" t="9525" r="19050" b="17145"/>
            <wp:docPr id="6" name="图片 8" descr="高速公路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高速公路网"/>
                    <pic:cNvPicPr>
                      <a:picLocks noChangeAspect="1" noChangeArrowheads="1"/>
                    </pic:cNvPicPr>
                  </pic:nvPicPr>
                  <pic:blipFill>
                    <a:blip r:embed="rId23">
                      <a:extLst>
                        <a:ext uri="{28A0092B-C50C-407E-A947-70E740481C1C}">
                          <a14:useLocalDpi xmlns:a14="http://schemas.microsoft.com/office/drawing/2010/main" val="0"/>
                        </a:ext>
                      </a:extLst>
                    </a:blip>
                    <a:srcRect l="2754" t="6807" r="2678" b="3250"/>
                    <a:stretch>
                      <a:fillRect/>
                    </a:stretch>
                  </pic:blipFill>
                  <pic:spPr>
                    <a:xfrm>
                      <a:off x="0" y="0"/>
                      <a:ext cx="5648325" cy="4050030"/>
                    </a:xfrm>
                    <a:prstGeom prst="rect">
                      <a:avLst/>
                    </a:prstGeom>
                    <a:noFill/>
                    <a:ln>
                      <a:solidFill>
                        <a:schemeClr val="tx1"/>
                      </a:solidFill>
                      <a:prstDash val="solid"/>
                    </a:ln>
                  </pic:spPr>
                </pic:pic>
              </a:graphicData>
            </a:graphic>
          </wp:inline>
        </w:drawing>
      </w:r>
    </w:p>
    <w:p>
      <w:pPr>
        <w:pStyle w:val="26"/>
        <w:rPr>
          <w:rFonts w:eastAsia="仿宋_GB2312"/>
        </w:rPr>
      </w:pPr>
      <w:r>
        <w:rPr>
          <w:rFonts w:hint="eastAsia"/>
        </w:rPr>
        <w:t>图8 惠州市高速公路网布局规划图</w:t>
      </w:r>
    </w:p>
    <w:p>
      <w:pPr>
        <w:pStyle w:val="26"/>
        <w:overflowPunct w:val="0"/>
        <w:spacing w:line="600" w:lineRule="exact"/>
        <w:ind w:firstLine="643"/>
        <w:rPr>
          <w:b/>
          <w:bCs/>
        </w:rPr>
      </w:pPr>
    </w:p>
    <w:p>
      <w:pPr>
        <w:pStyle w:val="5"/>
        <w:overflowPunct w:val="0"/>
        <w:spacing w:line="600" w:lineRule="exact"/>
        <w:rPr>
          <w:rFonts w:ascii="Times New Roman" w:hAnsi="Times New Roman"/>
        </w:rPr>
      </w:pPr>
      <w:bookmarkStart w:id="117" w:name="_Toc25682"/>
      <w:bookmarkStart w:id="118" w:name="_Toc22390"/>
      <w:bookmarkStart w:id="119" w:name="_Toc24915"/>
      <w:bookmarkStart w:id="120" w:name="_Toc19417"/>
      <w:r>
        <w:rPr>
          <w:rFonts w:ascii="Times New Roman" w:hAnsi="Times New Roman"/>
        </w:rPr>
        <w:t xml:space="preserve">第二节  </w:t>
      </w:r>
      <w:r>
        <w:rPr>
          <w:rFonts w:hint="eastAsia" w:ascii="Times New Roman" w:hAnsi="Times New Roman"/>
        </w:rPr>
        <w:t>构建</w:t>
      </w:r>
      <w:r>
        <w:rPr>
          <w:rFonts w:ascii="Times New Roman" w:hAnsi="Times New Roman"/>
        </w:rPr>
        <w:t>便捷高效交通网络</w:t>
      </w:r>
      <w:bookmarkEnd w:id="117"/>
      <w:bookmarkEnd w:id="118"/>
      <w:bookmarkEnd w:id="119"/>
      <w:bookmarkEnd w:id="120"/>
    </w:p>
    <w:p>
      <w:pPr>
        <w:overflowPunct w:val="0"/>
        <w:spacing w:line="600" w:lineRule="exact"/>
        <w:ind w:firstLine="643"/>
      </w:pPr>
      <w:r>
        <w:rPr>
          <w:b/>
          <w:bCs/>
        </w:rPr>
        <w:t>推进</w:t>
      </w:r>
      <w:r>
        <w:rPr>
          <w:rFonts w:hint="eastAsia"/>
          <w:b/>
          <w:bCs/>
        </w:rPr>
        <w:t>“</w:t>
      </w:r>
      <w:r>
        <w:rPr>
          <w:b/>
          <w:bCs/>
        </w:rPr>
        <w:t>丰</w:t>
      </w:r>
      <w:r>
        <w:rPr>
          <w:rFonts w:hint="eastAsia"/>
          <w:b/>
          <w:bCs/>
        </w:rPr>
        <w:t>”</w:t>
      </w:r>
      <w:r>
        <w:rPr>
          <w:b/>
          <w:bCs/>
        </w:rPr>
        <w:t>字道路交通主框架建设。</w:t>
      </w:r>
      <w:r>
        <w:t>按照</w:t>
      </w:r>
      <w:r>
        <w:rPr>
          <w:rFonts w:hint="eastAsia"/>
        </w:rPr>
        <w:t>“</w:t>
      </w:r>
      <w:r>
        <w:t>交通带动产业、产业支撑城市</w:t>
      </w:r>
      <w:r>
        <w:rPr>
          <w:rFonts w:hint="eastAsia"/>
        </w:rPr>
        <w:t>”</w:t>
      </w:r>
      <w:r>
        <w:t>理念，科学实施连接广州（知识城）、广深港澳科技创新走廊、深圳（前海）以及贯通惠州南北的</w:t>
      </w:r>
      <w:r>
        <w:rPr>
          <w:rFonts w:hint="eastAsia"/>
        </w:rPr>
        <w:t>“</w:t>
      </w:r>
      <w:r>
        <w:t>丰</w:t>
      </w:r>
      <w:r>
        <w:rPr>
          <w:rFonts w:hint="eastAsia"/>
        </w:rPr>
        <w:t>”</w:t>
      </w:r>
      <w:r>
        <w:t>字道路交通主框架建设，配套规划建设</w:t>
      </w:r>
      <w:r>
        <w:rPr>
          <w:rFonts w:hint="eastAsia"/>
        </w:rPr>
        <w:t>“</w:t>
      </w:r>
      <w:r>
        <w:t>五横五纵</w:t>
      </w:r>
      <w:r>
        <w:rPr>
          <w:rFonts w:hint="eastAsia"/>
        </w:rPr>
        <w:t>”</w:t>
      </w:r>
      <w:r>
        <w:t>骨干快速路及五条联络线、市区</w:t>
      </w:r>
      <w:r>
        <w:rPr>
          <w:rFonts w:hint="eastAsia"/>
        </w:rPr>
        <w:t>“</w:t>
      </w:r>
      <w:r>
        <w:t>两环十射</w:t>
      </w:r>
      <w:r>
        <w:rPr>
          <w:rFonts w:hint="eastAsia"/>
        </w:rPr>
        <w:t>”</w:t>
      </w:r>
      <w:r>
        <w:t>快速进出城道路路网体系。加快实现1小时内通达广州、深圳、香港，打造与粤港澳大湾区城市高度融合、辐射粤东、粤北及闽赣的区域性门户</w:t>
      </w:r>
      <w:r>
        <w:rPr>
          <w:rFonts w:hint="eastAsia"/>
        </w:rPr>
        <w:t>交通</w:t>
      </w:r>
      <w:r>
        <w:t>枢纽。推进国道G324（广汕公路）北上建设，推进国省干线上等级改造，打通跨界地区断头路，织密城市路网，打通</w:t>
      </w:r>
      <w:r>
        <w:rPr>
          <w:rFonts w:hint="eastAsia"/>
        </w:rPr>
        <w:t>“</w:t>
      </w:r>
      <w:r>
        <w:t>大动脉</w:t>
      </w:r>
      <w:r>
        <w:rPr>
          <w:rFonts w:hint="eastAsia"/>
        </w:rPr>
        <w:t>”</w:t>
      </w:r>
      <w:r>
        <w:t>、畅通</w:t>
      </w:r>
      <w:r>
        <w:rPr>
          <w:rFonts w:hint="eastAsia"/>
        </w:rPr>
        <w:t>“</w:t>
      </w:r>
      <w:r>
        <w:t>微循环</w:t>
      </w:r>
      <w:r>
        <w:rPr>
          <w:rFonts w:hint="eastAsia"/>
        </w:rPr>
        <w:t>”</w:t>
      </w:r>
      <w:r>
        <w:t>。</w:t>
      </w:r>
    </w:p>
    <w:p>
      <w:pPr>
        <w:overflowPunct w:val="0"/>
        <w:spacing w:line="600" w:lineRule="exact"/>
        <w:ind w:firstLine="640"/>
      </w:pPr>
    </w:p>
    <w:p>
      <w:pPr>
        <w:pStyle w:val="26"/>
        <w:overflowPunct w:val="0"/>
        <w:spacing w:line="240" w:lineRule="auto"/>
      </w:pPr>
      <w:r>
        <w:rPr>
          <w:rFonts w:hint="eastAsia"/>
        </w:rPr>
        <w:drawing>
          <wp:inline distT="0" distB="0" distL="114300" distR="114300">
            <wp:extent cx="5579110" cy="3677920"/>
            <wp:effectExtent l="9525" t="9525" r="12065" b="27305"/>
            <wp:docPr id="12" name="图片 12" descr="2021-05-22 16:16:20.06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1-05-22 16:16:20.062000"/>
                    <pic:cNvPicPr>
                      <a:picLocks noChangeAspect="1"/>
                    </pic:cNvPicPr>
                  </pic:nvPicPr>
                  <pic:blipFill>
                    <a:blip r:embed="rId24"/>
                    <a:srcRect l="1702" b="1305"/>
                    <a:stretch>
                      <a:fillRect/>
                    </a:stretch>
                  </pic:blipFill>
                  <pic:spPr>
                    <a:xfrm>
                      <a:off x="0" y="0"/>
                      <a:ext cx="5579110" cy="3677920"/>
                    </a:xfrm>
                    <a:prstGeom prst="rect">
                      <a:avLst/>
                    </a:prstGeom>
                    <a:ln>
                      <a:solidFill>
                        <a:schemeClr val="tx1"/>
                      </a:solidFill>
                    </a:ln>
                  </pic:spPr>
                </pic:pic>
              </a:graphicData>
            </a:graphic>
          </wp:inline>
        </w:drawing>
      </w:r>
    </w:p>
    <w:p>
      <w:pPr>
        <w:pStyle w:val="26"/>
        <w:rPr>
          <w:rFonts w:eastAsia="仿宋_GB2312"/>
        </w:rPr>
      </w:pPr>
      <w:r>
        <w:rPr>
          <w:rFonts w:hint="eastAsia"/>
        </w:rPr>
        <w:t>图9 惠州市“丰”字道路交通主框架规划示意图</w:t>
      </w:r>
    </w:p>
    <w:p>
      <w:pPr>
        <w:pStyle w:val="26"/>
        <w:overflowPunct w:val="0"/>
        <w:spacing w:line="300" w:lineRule="exact"/>
      </w:pPr>
    </w:p>
    <w:p>
      <w:pPr>
        <w:overflowPunct w:val="0"/>
        <w:spacing w:line="600" w:lineRule="exact"/>
        <w:ind w:firstLine="643"/>
      </w:pPr>
      <w:r>
        <w:rPr>
          <w:b/>
          <w:bCs/>
        </w:rPr>
        <w:t>深入实施畅通工程。</w:t>
      </w:r>
      <w:r>
        <w:t>聚焦</w:t>
      </w:r>
      <w:r>
        <w:rPr>
          <w:rFonts w:hint="eastAsia"/>
        </w:rPr>
        <w:t>“</w:t>
      </w:r>
      <w:r>
        <w:t>过江难</w:t>
      </w:r>
      <w:r>
        <w:rPr>
          <w:rFonts w:hint="eastAsia"/>
        </w:rPr>
        <w:t>”</w:t>
      </w:r>
      <w:r>
        <w:t>，优化市区过江通道建设，结合既有过江通道及路网条件，规划建设跨东江和跨西枝江的过江通道，到2025年中心区形成8条过东江通道、16条过西枝江通道。聚焦</w:t>
      </w:r>
      <w:r>
        <w:rPr>
          <w:rFonts w:hint="eastAsia"/>
        </w:rPr>
        <w:t>“</w:t>
      </w:r>
      <w:r>
        <w:t>出入城难</w:t>
      </w:r>
      <w:r>
        <w:rPr>
          <w:rFonts w:hint="eastAsia"/>
        </w:rPr>
        <w:t>”</w:t>
      </w:r>
      <w:r>
        <w:t>和</w:t>
      </w:r>
      <w:r>
        <w:rPr>
          <w:rFonts w:hint="eastAsia"/>
        </w:rPr>
        <w:t>“</w:t>
      </w:r>
      <w:r>
        <w:t>上下班拥堵</w:t>
      </w:r>
      <w:r>
        <w:rPr>
          <w:rFonts w:hint="eastAsia"/>
        </w:rPr>
        <w:t>”</w:t>
      </w:r>
      <w:r>
        <w:t>，着力畅通城市</w:t>
      </w:r>
      <w:r>
        <w:rPr>
          <w:rFonts w:hint="eastAsia"/>
        </w:rPr>
        <w:t>道路</w:t>
      </w:r>
      <w:r>
        <w:t>主动脉，疏通路网毛细血管，加快打通城市断头路，大力发展智慧交通，优化潮汐车道设置，为城市运行提速增效。聚焦</w:t>
      </w:r>
      <w:r>
        <w:rPr>
          <w:rFonts w:hint="eastAsia"/>
        </w:rPr>
        <w:t>“</w:t>
      </w:r>
      <w:r>
        <w:t>跨县区通勤难</w:t>
      </w:r>
      <w:r>
        <w:rPr>
          <w:rFonts w:hint="eastAsia"/>
        </w:rPr>
        <w:t>”</w:t>
      </w:r>
      <w:r>
        <w:t>，完善惠城与仲恺、惠城与惠阳大亚湾之间的高等级公路。增加优质公交线路和服务供给，规范有序发展网约车、直达快线、通勤专线等新模式新业态，促进共享绿色出行。</w:t>
      </w:r>
    </w:p>
    <w:p>
      <w:pPr>
        <w:overflowPunct w:val="0"/>
        <w:spacing w:line="600" w:lineRule="exact"/>
        <w:ind w:firstLine="643"/>
      </w:pPr>
      <w:r>
        <w:rPr>
          <w:b/>
          <w:bCs/>
        </w:rPr>
        <w:t>构筑服务新发展格局的物流枢纽体系。</w:t>
      </w:r>
      <w:r>
        <w:t>深入推进物流供给侧结构性改革，顺应现代化产业组织网络化与智能化趋势，推动物流网络构建、服务融合、业态创新。深入推进运输结构调整，加快推进铁路、港口、空港等物流基础设施建设和改造，提升铁路、水运运输能力。对外衔接全省</w:t>
      </w:r>
      <w:r>
        <w:rPr>
          <w:rFonts w:hint="eastAsia"/>
        </w:rPr>
        <w:t>“</w:t>
      </w:r>
      <w:r>
        <w:t>一核一带一区</w:t>
      </w:r>
      <w:r>
        <w:rPr>
          <w:rFonts w:hint="eastAsia"/>
        </w:rPr>
        <w:t>”</w:t>
      </w:r>
      <w:r>
        <w:t>、粤港澳大湾区、长江中游城市群等重大区域的干线物流通道，加强与重大区域的物流枢纽、原材料产业、制造业基地等联系。科学布局物流网络和物流节点，完善干支衔接型枢纽型物流园区、城市配送网络节点和城乡物流配送体系。</w:t>
      </w:r>
    </w:p>
    <w:p>
      <w:pPr>
        <w:overflowPunct w:val="0"/>
        <w:spacing w:line="600" w:lineRule="exact"/>
        <w:ind w:firstLine="643"/>
        <w:rPr>
          <w:spacing w:val="4"/>
        </w:rPr>
      </w:pPr>
      <w:r>
        <w:rPr>
          <w:b/>
          <w:bCs/>
        </w:rPr>
        <w:t>提升客货运输服务效能。</w:t>
      </w:r>
      <w:r>
        <w:t>按照</w:t>
      </w:r>
      <w:r>
        <w:rPr>
          <w:rFonts w:hint="eastAsia"/>
        </w:rPr>
        <w:t>“</w:t>
      </w:r>
      <w:r>
        <w:t>无缝换乘</w:t>
      </w:r>
      <w:r>
        <w:rPr>
          <w:rFonts w:hint="eastAsia"/>
        </w:rPr>
        <w:t>”</w:t>
      </w:r>
      <w:r>
        <w:t>的要求，以大型铁路枢纽、机场枢纽为重点，规划建设一批多方式衔接、立体化设计、多资源整合的新型综合客运交通枢纽，实现多种运输方式统一设计、同步建设、协同管理，发展旅客联程运输，推行客运</w:t>
      </w:r>
      <w:r>
        <w:rPr>
          <w:rFonts w:hint="eastAsia"/>
        </w:rPr>
        <w:t>“</w:t>
      </w:r>
      <w:r>
        <w:t>一票制</w:t>
      </w:r>
      <w:r>
        <w:rPr>
          <w:rFonts w:hint="eastAsia"/>
        </w:rPr>
        <w:t>”“</w:t>
      </w:r>
      <w:r>
        <w:t>一卡通</w:t>
      </w:r>
      <w:r>
        <w:rPr>
          <w:rFonts w:hint="eastAsia"/>
        </w:rPr>
        <w:t>”</w:t>
      </w:r>
      <w:r>
        <w:t>。实施公交优先发展战略，推进城乡客运服务均等化。整合港口、铁路、机场等货运资源，加快发展多式</w:t>
      </w:r>
      <w:r>
        <w:rPr>
          <w:spacing w:val="4"/>
        </w:rPr>
        <w:t>联运，统一标准和规则，推进统一物流信息平台建设。</w:t>
      </w:r>
    </w:p>
    <w:p>
      <w:pPr>
        <w:pStyle w:val="2"/>
        <w:ind w:firstLine="480"/>
      </w:pPr>
    </w:p>
    <w:tbl>
      <w:tblPr>
        <w:tblStyle w:val="18"/>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59" w:type="dxa"/>
            <w:tcMar>
              <w:top w:w="170" w:type="dxa"/>
              <w:bottom w:w="170" w:type="dxa"/>
            </w:tcMar>
          </w:tcPr>
          <w:p>
            <w:pPr>
              <w:pStyle w:val="26"/>
              <w:overflowPunct w:val="0"/>
              <w:spacing w:line="310" w:lineRule="exact"/>
              <w:rPr>
                <w:rFonts w:eastAsia="宋体"/>
                <w:b/>
                <w:bCs/>
                <w:szCs w:val="22"/>
              </w:rPr>
            </w:pPr>
            <w:r>
              <w:t>专栏</w:t>
            </w:r>
            <w:r>
              <w:rPr>
                <w:rFonts w:hint="eastAsia"/>
              </w:rPr>
              <w:t>2</w:t>
            </w:r>
            <w:r>
              <w:t xml:space="preserve">  </w:t>
            </w:r>
            <w:r>
              <w:rPr>
                <w:rFonts w:hint="eastAsia"/>
              </w:rPr>
              <w:t>“</w:t>
            </w:r>
            <w:r>
              <w:t>十四五</w:t>
            </w:r>
            <w:r>
              <w:rPr>
                <w:rFonts w:hint="eastAsia"/>
              </w:rPr>
              <w:t>”</w:t>
            </w:r>
            <w:r>
              <w:t>时期重大交通基础设施建设项目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959" w:type="dxa"/>
            <w:tcMar>
              <w:top w:w="170" w:type="dxa"/>
              <w:bottom w:w="170" w:type="dxa"/>
            </w:tcMar>
          </w:tcPr>
          <w:p>
            <w:pPr>
              <w:pStyle w:val="31"/>
              <w:overflowPunct w:val="0"/>
              <w:spacing w:line="310" w:lineRule="exact"/>
              <w:ind w:firstLine="482" w:firstLineChars="200"/>
              <w:jc w:val="both"/>
              <w:rPr>
                <w:rFonts w:eastAsia="仿宋_GB2312"/>
              </w:rPr>
            </w:pPr>
            <w:r>
              <w:rPr>
                <w:rFonts w:hint="eastAsia" w:eastAsia="仿宋_GB2312"/>
                <w:b/>
                <w:bCs/>
              </w:rPr>
              <w:t>1</w:t>
            </w:r>
            <w:r>
              <w:rPr>
                <w:rFonts w:eastAsia="仿宋_GB2312"/>
                <w:b/>
                <w:bCs/>
              </w:rPr>
              <w:t>.</w:t>
            </w:r>
            <w:r>
              <w:rPr>
                <w:rFonts w:hint="eastAsia" w:eastAsia="仿宋_GB2312"/>
                <w:b/>
                <w:bCs/>
              </w:rPr>
              <w:t>“</w:t>
            </w:r>
            <w:r>
              <w:rPr>
                <w:rFonts w:eastAsia="仿宋_GB2312"/>
                <w:b/>
                <w:bCs/>
              </w:rPr>
              <w:t>丰</w:t>
            </w:r>
            <w:r>
              <w:rPr>
                <w:rFonts w:hint="eastAsia" w:eastAsia="仿宋_GB2312"/>
                <w:b/>
                <w:bCs/>
              </w:rPr>
              <w:t>”</w:t>
            </w:r>
            <w:r>
              <w:rPr>
                <w:rFonts w:eastAsia="仿宋_GB2312"/>
                <w:b/>
                <w:bCs/>
              </w:rPr>
              <w:t>字</w:t>
            </w:r>
            <w:r>
              <w:rPr>
                <w:rFonts w:hint="eastAsia" w:eastAsia="仿宋_GB2312"/>
                <w:b/>
                <w:bCs/>
              </w:rPr>
              <w:t>道路</w:t>
            </w:r>
            <w:r>
              <w:rPr>
                <w:rFonts w:eastAsia="仿宋_GB2312"/>
                <w:b/>
                <w:bCs/>
              </w:rPr>
              <w:t>交通主框架</w:t>
            </w:r>
            <w:r>
              <w:rPr>
                <w:rFonts w:hint="eastAsia" w:eastAsia="仿宋_GB2312"/>
                <w:b/>
                <w:bCs/>
              </w:rPr>
              <w:t>：</w:t>
            </w:r>
            <w:r>
              <w:rPr>
                <w:rFonts w:eastAsia="仿宋_GB2312"/>
              </w:rPr>
              <w:t>第一</w:t>
            </w:r>
            <w:r>
              <w:rPr>
                <w:rFonts w:hint="eastAsia" w:eastAsia="仿宋_GB2312"/>
              </w:rPr>
              <w:t>“</w:t>
            </w:r>
            <w:r>
              <w:rPr>
                <w:rFonts w:eastAsia="仿宋_GB2312"/>
              </w:rPr>
              <w:t>横</w:t>
            </w:r>
            <w:r>
              <w:rPr>
                <w:rFonts w:hint="eastAsia" w:eastAsia="仿宋_GB2312"/>
              </w:rPr>
              <w:t>”</w:t>
            </w:r>
            <w:r>
              <w:rPr>
                <w:rFonts w:eastAsia="仿宋_GB2312"/>
              </w:rPr>
              <w:t>对接广州（知识城），形成辐射</w:t>
            </w:r>
            <w:r>
              <w:rPr>
                <w:rFonts w:hint="eastAsia" w:eastAsia="仿宋_GB2312"/>
              </w:rPr>
              <w:t>河源、梅州</w:t>
            </w:r>
            <w:r>
              <w:rPr>
                <w:rFonts w:eastAsia="仿宋_GB2312"/>
              </w:rPr>
              <w:t>的沿江交通轴线；第二</w:t>
            </w:r>
            <w:r>
              <w:rPr>
                <w:rFonts w:hint="eastAsia" w:eastAsia="仿宋_GB2312"/>
              </w:rPr>
              <w:t>“</w:t>
            </w:r>
            <w:r>
              <w:rPr>
                <w:rFonts w:eastAsia="仿宋_GB2312"/>
              </w:rPr>
              <w:t>横</w:t>
            </w:r>
            <w:r>
              <w:rPr>
                <w:rFonts w:hint="eastAsia" w:eastAsia="仿宋_GB2312"/>
              </w:rPr>
              <w:t>”</w:t>
            </w:r>
            <w:r>
              <w:rPr>
                <w:rFonts w:eastAsia="仿宋_GB2312"/>
              </w:rPr>
              <w:t>对接广深港澳科技创新走廊，形成辐射</w:t>
            </w:r>
            <w:r>
              <w:rPr>
                <w:rFonts w:hint="eastAsia" w:eastAsia="仿宋_GB2312"/>
              </w:rPr>
              <w:t>揭阳、潮州</w:t>
            </w:r>
            <w:r>
              <w:rPr>
                <w:rFonts w:eastAsia="仿宋_GB2312"/>
              </w:rPr>
              <w:t>的中部交通轴线；第三</w:t>
            </w:r>
            <w:r>
              <w:rPr>
                <w:rFonts w:hint="eastAsia" w:eastAsia="仿宋_GB2312"/>
              </w:rPr>
              <w:t>“</w:t>
            </w:r>
            <w:r>
              <w:rPr>
                <w:rFonts w:eastAsia="仿宋_GB2312"/>
              </w:rPr>
              <w:t>横</w:t>
            </w:r>
            <w:r>
              <w:rPr>
                <w:rFonts w:hint="eastAsia" w:eastAsia="仿宋_GB2312"/>
              </w:rPr>
              <w:t>”</w:t>
            </w:r>
            <w:r>
              <w:rPr>
                <w:rFonts w:eastAsia="仿宋_GB2312"/>
              </w:rPr>
              <w:t>对接深圳（前海）、香港，形成辐射深汕特别合作区及</w:t>
            </w:r>
            <w:r>
              <w:rPr>
                <w:rFonts w:hint="eastAsia" w:eastAsia="仿宋_GB2312"/>
              </w:rPr>
              <w:t>汕尾、汕头</w:t>
            </w:r>
            <w:r>
              <w:rPr>
                <w:rFonts w:eastAsia="仿宋_GB2312"/>
              </w:rPr>
              <w:t>的东西交通轴线；一</w:t>
            </w:r>
            <w:r>
              <w:rPr>
                <w:rFonts w:hint="eastAsia" w:eastAsia="仿宋_GB2312"/>
              </w:rPr>
              <w:t>“</w:t>
            </w:r>
            <w:r>
              <w:rPr>
                <w:rFonts w:eastAsia="仿宋_GB2312"/>
              </w:rPr>
              <w:t>竖</w:t>
            </w:r>
            <w:r>
              <w:rPr>
                <w:rFonts w:hint="eastAsia" w:eastAsia="仿宋_GB2312"/>
              </w:rPr>
              <w:t>”</w:t>
            </w:r>
            <w:r>
              <w:rPr>
                <w:rFonts w:eastAsia="仿宋_GB2312"/>
              </w:rPr>
              <w:t>连通中心城区与惠州湾，推动陆海呼应、江海联动，形成由沿江走向沿海的南北交通轴线。</w:t>
            </w:r>
            <w:r>
              <w:rPr>
                <w:rFonts w:hint="eastAsia" w:eastAsia="仿宋_GB2312"/>
              </w:rPr>
              <w:t>分期</w:t>
            </w:r>
            <w:r>
              <w:rPr>
                <w:rFonts w:eastAsia="仿宋_GB2312"/>
              </w:rPr>
              <w:t>逐步实施，近期优先启动南北交通轴线</w:t>
            </w:r>
            <w:r>
              <w:rPr>
                <w:rFonts w:hint="eastAsia" w:eastAsia="仿宋_GB2312"/>
              </w:rPr>
              <w:t>、</w:t>
            </w:r>
            <w:r>
              <w:rPr>
                <w:rFonts w:eastAsia="仿宋_GB2312"/>
              </w:rPr>
              <w:t>东西交通轴线</w:t>
            </w:r>
            <w:r>
              <w:rPr>
                <w:rFonts w:hint="eastAsia" w:eastAsia="仿宋_GB2312"/>
              </w:rPr>
              <w:t>以及沿江交通轴线</w:t>
            </w:r>
            <w:r>
              <w:rPr>
                <w:rFonts w:eastAsia="仿宋_GB2312"/>
              </w:rPr>
              <w:t>的前期研究和规划建设，有序开展</w:t>
            </w:r>
            <w:r>
              <w:rPr>
                <w:rFonts w:hint="eastAsia" w:eastAsia="仿宋_GB2312"/>
              </w:rPr>
              <w:t>中部</w:t>
            </w:r>
            <w:r>
              <w:rPr>
                <w:rFonts w:eastAsia="仿宋_GB2312"/>
              </w:rPr>
              <w:t>交通轴线及国道G324北上的规划建设</w:t>
            </w:r>
            <w:r>
              <w:rPr>
                <w:rFonts w:hint="eastAsia" w:eastAsia="仿宋_GB2312"/>
              </w:rPr>
              <w:t>。“十四五”期末基本形成“丰”字道路交通主框架的路网体系</w:t>
            </w:r>
            <w:r>
              <w:rPr>
                <w:rFonts w:eastAsia="仿宋_GB2312"/>
              </w:rPr>
              <w:t>，形成融入大湾区的大交通体系。</w:t>
            </w:r>
          </w:p>
          <w:p>
            <w:pPr>
              <w:pStyle w:val="31"/>
              <w:overflowPunct w:val="0"/>
              <w:spacing w:line="310" w:lineRule="exact"/>
              <w:ind w:firstLine="482" w:firstLineChars="200"/>
              <w:jc w:val="both"/>
              <w:rPr>
                <w:rFonts w:eastAsia="仿宋_GB2312"/>
              </w:rPr>
            </w:pPr>
            <w:r>
              <w:rPr>
                <w:rFonts w:hint="eastAsia" w:eastAsia="仿宋_GB2312"/>
                <w:b/>
                <w:bCs/>
              </w:rPr>
              <w:t>2</w:t>
            </w:r>
            <w:r>
              <w:rPr>
                <w:rFonts w:eastAsia="仿宋_GB2312"/>
                <w:b/>
                <w:bCs/>
              </w:rPr>
              <w:t>.</w:t>
            </w:r>
            <w:r>
              <w:rPr>
                <w:rFonts w:hint="eastAsia" w:eastAsia="仿宋_GB2312"/>
                <w:b/>
                <w:bCs/>
              </w:rPr>
              <w:t>“</w:t>
            </w:r>
            <w:r>
              <w:rPr>
                <w:rFonts w:eastAsia="仿宋_GB2312"/>
                <w:b/>
                <w:bCs/>
              </w:rPr>
              <w:t>五横五纵</w:t>
            </w:r>
            <w:r>
              <w:rPr>
                <w:rFonts w:hint="eastAsia" w:eastAsia="仿宋_GB2312"/>
                <w:b/>
                <w:bCs/>
              </w:rPr>
              <w:t>”</w:t>
            </w:r>
            <w:r>
              <w:rPr>
                <w:rFonts w:eastAsia="仿宋_GB2312"/>
                <w:b/>
                <w:bCs/>
              </w:rPr>
              <w:t>骨干快速路和联络线</w:t>
            </w:r>
            <w:r>
              <w:rPr>
                <w:rFonts w:hint="eastAsia" w:eastAsia="仿宋_GB2312"/>
                <w:b/>
                <w:bCs/>
              </w:rPr>
              <w:t>：</w:t>
            </w:r>
            <w:r>
              <w:rPr>
                <w:rFonts w:eastAsia="仿宋_GB2312"/>
              </w:rPr>
              <w:t>H1途</w:t>
            </w:r>
            <w:r>
              <w:rPr>
                <w:rFonts w:hint="eastAsia" w:eastAsia="仿宋_GB2312"/>
              </w:rPr>
              <w:t>经</w:t>
            </w:r>
            <w:r>
              <w:rPr>
                <w:rFonts w:eastAsia="仿宋_GB2312"/>
              </w:rPr>
              <w:t>博罗县、惠城中心区、东江高新科技产业园；H2途</w:t>
            </w:r>
            <w:r>
              <w:rPr>
                <w:rFonts w:hint="eastAsia" w:eastAsia="仿宋_GB2312"/>
              </w:rPr>
              <w:t>经</w:t>
            </w:r>
            <w:r>
              <w:rPr>
                <w:rFonts w:eastAsia="仿宋_GB2312"/>
              </w:rPr>
              <w:t>潼湖生态智慧区、</w:t>
            </w:r>
            <w:r>
              <w:rPr>
                <w:rFonts w:hint="eastAsia" w:eastAsia="仿宋_GB2312"/>
              </w:rPr>
              <w:t>博罗县、</w:t>
            </w:r>
            <w:r>
              <w:rPr>
                <w:rFonts w:eastAsia="仿宋_GB2312"/>
              </w:rPr>
              <w:t>惠城中心区、空港经济产业园</w:t>
            </w:r>
            <w:r>
              <w:rPr>
                <w:rFonts w:hint="eastAsia" w:eastAsia="仿宋_GB2312"/>
              </w:rPr>
              <w:t>、惠东梁化</w:t>
            </w:r>
            <w:r>
              <w:rPr>
                <w:rFonts w:eastAsia="仿宋_GB2312"/>
              </w:rPr>
              <w:t>；H3途</w:t>
            </w:r>
            <w:r>
              <w:rPr>
                <w:rFonts w:hint="eastAsia" w:eastAsia="仿宋_GB2312"/>
              </w:rPr>
              <w:t>经</w:t>
            </w:r>
            <w:r>
              <w:rPr>
                <w:rFonts w:eastAsia="仿宋_GB2312"/>
              </w:rPr>
              <w:t>沥林镇、镇隆镇、良井镇至惠东县城；H4途</w:t>
            </w:r>
            <w:r>
              <w:rPr>
                <w:rFonts w:hint="eastAsia" w:eastAsia="仿宋_GB2312"/>
              </w:rPr>
              <w:t>经</w:t>
            </w:r>
            <w:r>
              <w:rPr>
                <w:rFonts w:eastAsia="仿宋_GB2312"/>
              </w:rPr>
              <w:t>新圩镇、秋长街道、沙田镇、</w:t>
            </w:r>
            <w:r>
              <w:rPr>
                <w:rFonts w:hint="eastAsia" w:eastAsia="仿宋_GB2312"/>
              </w:rPr>
              <w:t>惠州</w:t>
            </w:r>
            <w:r>
              <w:rPr>
                <w:rFonts w:eastAsia="仿宋_GB2312"/>
              </w:rPr>
              <w:t>新材料产业园、惠东南站；H5途经大亚湾西区、石化区北侧、范和湾，接深汕合作区深东大道；Z1串联南昆山、罗浮山至潼湖湿地；Z2串联博罗县、潼湖生态智慧区、镇隆镇、新圩镇至大亚湾开发区；Z3利用小金河大道、经仲恺高新区至镇隆镇；Z4连接龙门县城，利用金龙大道经惠城中心区，至惠阳区、大亚湾开发区；Z5串联东江高新科技产业园、空港经济产业园、</w:t>
            </w:r>
            <w:r>
              <w:rPr>
                <w:rFonts w:hint="eastAsia" w:eastAsia="仿宋_GB2312"/>
              </w:rPr>
              <w:t>惠东县产业转移工业园、接H4线</w:t>
            </w:r>
            <w:r>
              <w:rPr>
                <w:rFonts w:eastAsia="仿宋_GB2312"/>
              </w:rPr>
              <w:t>。</w:t>
            </w:r>
          </w:p>
          <w:p>
            <w:pPr>
              <w:pStyle w:val="31"/>
              <w:overflowPunct w:val="0"/>
              <w:spacing w:line="310" w:lineRule="exact"/>
              <w:ind w:firstLine="482" w:firstLineChars="200"/>
              <w:jc w:val="both"/>
              <w:rPr>
                <w:rFonts w:eastAsia="仿宋_GB2312"/>
              </w:rPr>
            </w:pPr>
            <w:r>
              <w:rPr>
                <w:rFonts w:hint="eastAsia" w:eastAsia="仿宋_GB2312"/>
                <w:b/>
                <w:bCs/>
              </w:rPr>
              <w:t>3.“两环十射”快速进出城路网体系：</w:t>
            </w:r>
            <w:r>
              <w:rPr>
                <w:rFonts w:hint="eastAsia" w:eastAsia="仿宋_GB2312"/>
              </w:rPr>
              <w:t>加快推进金龙大道、小金河大道快速化改造，近期优先启动新建南山快速路，快速化改造三环路、惠泽大道、惠博大道等道路，后续逐步启动四环南路、惠澳大道、金恺大道、永联路、江南大道快速化改造和惠民大道微改提速，“十四五”期末总体形成“两环十射”的快速进出城路网体系。</w:t>
            </w:r>
          </w:p>
          <w:p>
            <w:pPr>
              <w:pStyle w:val="31"/>
              <w:overflowPunct w:val="0"/>
              <w:spacing w:line="310" w:lineRule="exact"/>
              <w:ind w:firstLine="482" w:firstLineChars="200"/>
              <w:jc w:val="both"/>
              <w:rPr>
                <w:rFonts w:eastAsia="仿宋_GB2312"/>
              </w:rPr>
            </w:pPr>
            <w:r>
              <w:rPr>
                <w:rFonts w:hint="eastAsia" w:eastAsia="仿宋_GB2312"/>
                <w:b/>
                <w:bCs/>
              </w:rPr>
              <w:t>4.市区过江通道：</w:t>
            </w:r>
            <w:r>
              <w:rPr>
                <w:rFonts w:hint="eastAsia" w:eastAsia="仿宋_GB2312"/>
              </w:rPr>
              <w:t>近期规划建设跨东江的1号公路跨东江大桥、鹅城大桥，跨西枝江的1号公路跨西枝江桥（文曲大桥）、东西轴线跨西枝江大桥、中部轴线跨西枝江大桥（沙澳大桥）、湖山大桥、惠安大桥等7条过江通道，到2025年惠城中心区形成8条过东江通道、16条过西枝江通道。中远期结合城市发展和通行需求适时启动建设跨东江的金鸡大桥、新民大桥、中部隧道、西部隧道、东江湾大桥、梅湖大桥和跨西枝江的河谷大桥，形成中心区东江14条过江通道、西枝江（新开河）19条过江通道的总体布局。</w:t>
            </w:r>
          </w:p>
          <w:p>
            <w:pPr>
              <w:pStyle w:val="31"/>
              <w:overflowPunct w:val="0"/>
              <w:spacing w:line="310" w:lineRule="exact"/>
              <w:ind w:firstLine="482" w:firstLineChars="200"/>
              <w:jc w:val="both"/>
              <w:rPr>
                <w:rFonts w:eastAsia="仿宋_GB2312"/>
              </w:rPr>
            </w:pPr>
            <w:r>
              <w:rPr>
                <w:rFonts w:hint="eastAsia" w:eastAsia="仿宋_GB2312"/>
                <w:b/>
                <w:bCs/>
              </w:rPr>
              <w:t>5.</w:t>
            </w:r>
            <w:r>
              <w:rPr>
                <w:rFonts w:eastAsia="仿宋_GB2312"/>
                <w:b/>
                <w:bCs/>
              </w:rPr>
              <w:t>港口</w:t>
            </w:r>
            <w:r>
              <w:rPr>
                <w:rFonts w:hint="eastAsia" w:eastAsia="仿宋_GB2312"/>
                <w:b/>
                <w:bCs/>
              </w:rPr>
              <w:t>和航道：</w:t>
            </w:r>
            <w:r>
              <w:rPr>
                <w:rFonts w:hint="eastAsia" w:eastAsia="仿宋_GB2312"/>
              </w:rPr>
              <w:t>建设惠州港荃湾港区荃美石化码头、荃湾港区10万吨级多用途码头、惠州港东马港区东联作业区中海壳牌南海石化化工码头、恒力石化（惠州）通用码头、惠州港碧甲LNG接收站配套码头、荃湾港区5万吨级液化烃（LPG）码头、荃湾港区5万吨级化工码头、欧德油储公用石化码头扩建工程及重件码头，推进欧德东联码头扩建、惠东大澳塘港口客运码头升级改造。推进惠州港荃湾港区进港主航道扩建、惠州港东联作业区进港航道扩建、惠州港碧甲作业区进港主航道扩建、东江河源至石龙航道扩能升级等航道工程。</w:t>
            </w:r>
          </w:p>
          <w:p>
            <w:pPr>
              <w:pStyle w:val="31"/>
              <w:overflowPunct w:val="0"/>
              <w:spacing w:line="310" w:lineRule="exact"/>
              <w:ind w:firstLine="482" w:firstLineChars="200"/>
              <w:jc w:val="both"/>
              <w:rPr>
                <w:rFonts w:eastAsia="仿宋_GB2312"/>
              </w:rPr>
            </w:pPr>
            <w:r>
              <w:rPr>
                <w:rFonts w:hint="eastAsia" w:eastAsia="仿宋_GB2312"/>
                <w:b/>
                <w:bCs/>
              </w:rPr>
              <w:t>6.物流基地和园区</w:t>
            </w:r>
            <w:r>
              <w:rPr>
                <w:rFonts w:hint="eastAsia" w:eastAsia="仿宋_GB2312"/>
              </w:rPr>
              <w:t>：粤港澳大湾区（广东·惠州）绿色农产品生产供应基地、粤港澳大湾区（惠州）冷链物流枢纽基地、惠东港区（碧甲）国际物流基地、惠州新材料产业园现代物流基地、粤港澳大湾区（广东·惠州）物流枢纽经济集聚区、惠州港荃湾港区临港物流园区、跨境电商产业园等。</w:t>
            </w:r>
          </w:p>
        </w:tc>
      </w:tr>
    </w:tbl>
    <w:p>
      <w:pPr>
        <w:pStyle w:val="5"/>
        <w:overflowPunct w:val="0"/>
        <w:spacing w:line="600" w:lineRule="exact"/>
      </w:pPr>
      <w:bookmarkStart w:id="121" w:name="_Toc5054"/>
      <w:bookmarkStart w:id="122" w:name="_Toc28639"/>
      <w:bookmarkStart w:id="123" w:name="_Toc10899"/>
      <w:bookmarkStart w:id="124" w:name="_Toc29614"/>
      <w:r>
        <w:t>第</w:t>
      </w:r>
      <w:r>
        <w:rPr>
          <w:rFonts w:hint="eastAsia"/>
        </w:rPr>
        <w:t>三</w:t>
      </w:r>
      <w:r>
        <w:t>节  推进新型基础设施建设</w:t>
      </w:r>
      <w:bookmarkEnd w:id="121"/>
      <w:bookmarkEnd w:id="122"/>
      <w:bookmarkEnd w:id="123"/>
      <w:bookmarkEnd w:id="124"/>
    </w:p>
    <w:p>
      <w:pPr>
        <w:overflowPunct w:val="0"/>
        <w:spacing w:line="600" w:lineRule="exact"/>
        <w:ind w:firstLine="643"/>
      </w:pPr>
      <w:r>
        <w:rPr>
          <w:b/>
          <w:bCs/>
        </w:rPr>
        <w:t>加快发展信息基础设施。</w:t>
      </w:r>
      <w:r>
        <w:t>加快建设高质量5G网络，到2025年实现5G网络城乡全覆盖。</w:t>
      </w:r>
      <w:r>
        <w:rPr>
          <w:rFonts w:hint="eastAsia"/>
        </w:rPr>
        <w:t>前瞻布局6G网络技术储备。</w:t>
      </w:r>
      <w:r>
        <w:t>深入推进高水平</w:t>
      </w:r>
      <w:r>
        <w:rPr>
          <w:rFonts w:hint="eastAsia"/>
        </w:rPr>
        <w:t>“</w:t>
      </w:r>
      <w:r>
        <w:t>全光网城市</w:t>
      </w:r>
      <w:r>
        <w:rPr>
          <w:rFonts w:hint="eastAsia"/>
        </w:rPr>
        <w:t>”</w:t>
      </w:r>
      <w:r>
        <w:t>建设，推进千兆宽带进住宅小区、商务楼宇和各类园区，提升农村信息基础设施水平，达到农村城市</w:t>
      </w:r>
      <w:r>
        <w:rPr>
          <w:rFonts w:hint="eastAsia"/>
        </w:rPr>
        <w:t>“</w:t>
      </w:r>
      <w:r>
        <w:t>同网同速</w:t>
      </w:r>
      <w:r>
        <w:rPr>
          <w:rFonts w:hint="eastAsia"/>
        </w:rPr>
        <w:t>”</w:t>
      </w:r>
      <w:r>
        <w:t>。积极部署低成本、低功耗、高精度、高可靠的智能化传感器，提升支持固移融合、窄宽结合的物联网接入能力，加快实现</w:t>
      </w:r>
      <w:r>
        <w:rPr>
          <w:rFonts w:hint="eastAsia"/>
        </w:rPr>
        <w:t>“</w:t>
      </w:r>
      <w:r>
        <w:t>万物互联</w:t>
      </w:r>
      <w:r>
        <w:rPr>
          <w:rFonts w:hint="eastAsia"/>
        </w:rPr>
        <w:t>”</w:t>
      </w:r>
      <w:r>
        <w:t>。支持建设跨行业、跨领域的工业互联网平台。推动人工智能、云计算、区块链等新技术基础设施建设。推进数据中心、智能计算中心等算力基础设施建设，推动大型数据中心有序建设投运、小微型数据中心升级改造。参与粤港澳大湾区量子通信骨干网络规划建设。创新投资建设模式，坚持以市场投入为主，支持多元主体参与建设。</w:t>
      </w:r>
    </w:p>
    <w:p>
      <w:pPr>
        <w:overflowPunct w:val="0"/>
        <w:spacing w:line="600" w:lineRule="exact"/>
        <w:ind w:firstLine="643"/>
      </w:pPr>
      <w:r>
        <w:rPr>
          <w:b/>
          <w:bCs/>
        </w:rPr>
        <w:t>积极争取部署创新基础设施。</w:t>
      </w:r>
      <w:r>
        <w:t>争取省在惠州布局集内容、网络、存储、计算于一体的边缘计算资源池节点，满足敏捷连接需求。争取布局更多国家和省级重点实验室、粤港澳联合实验室等。聚焦人工智能、区块链等新一代通用信息技术，构建开放协同的新技术基础设施集群。</w:t>
      </w:r>
    </w:p>
    <w:p>
      <w:pPr>
        <w:overflowPunct w:val="0"/>
        <w:spacing w:line="600" w:lineRule="exact"/>
        <w:ind w:firstLine="643"/>
        <w:rPr>
          <w:spacing w:val="-4"/>
        </w:rPr>
      </w:pPr>
      <w:r>
        <w:rPr>
          <w:b/>
          <w:bCs/>
        </w:rPr>
        <w:t>稳步升级融合基础设施。</w:t>
      </w:r>
      <w:r>
        <w:t>推动互联网、大数据、人工智能等</w:t>
      </w:r>
      <w:r>
        <w:rPr>
          <w:spacing w:val="-4"/>
        </w:rPr>
        <w:t>新技术在铁路、公路、水运、民航、邮政等基础设施渗透应用，加快形成融合基础设施。推动通信与相关行业双向开放与合作，推动新基建在智慧场景领域的应用，构建平台及其参与者互促共赢的生态。鼓励市场主体参与场景建设设计，丰富场景应用生态。</w:t>
      </w:r>
    </w:p>
    <w:p>
      <w:pPr>
        <w:overflowPunct w:val="0"/>
        <w:spacing w:line="600" w:lineRule="exact"/>
        <w:ind w:firstLine="640"/>
      </w:pPr>
    </w:p>
    <w:p>
      <w:pPr>
        <w:pStyle w:val="5"/>
        <w:overflowPunct w:val="0"/>
        <w:spacing w:line="600" w:lineRule="exact"/>
      </w:pPr>
      <w:bookmarkStart w:id="125" w:name="_Toc29949"/>
      <w:bookmarkStart w:id="126" w:name="_Toc20694"/>
      <w:bookmarkStart w:id="127" w:name="_Toc24322"/>
      <w:bookmarkStart w:id="128" w:name="_Toc29586"/>
      <w:r>
        <w:t>第</w:t>
      </w:r>
      <w:r>
        <w:rPr>
          <w:rFonts w:hint="eastAsia"/>
        </w:rPr>
        <w:t>四</w:t>
      </w:r>
      <w:r>
        <w:t xml:space="preserve">节  </w:t>
      </w:r>
      <w:r>
        <w:rPr>
          <w:rFonts w:hint="eastAsia"/>
        </w:rPr>
        <w:t>完善</w:t>
      </w:r>
      <w:r>
        <w:t>现代能源保障体系</w:t>
      </w:r>
      <w:bookmarkEnd w:id="125"/>
      <w:bookmarkEnd w:id="126"/>
      <w:bookmarkEnd w:id="127"/>
      <w:bookmarkEnd w:id="128"/>
    </w:p>
    <w:p>
      <w:pPr>
        <w:overflowPunct w:val="0"/>
        <w:spacing w:line="600" w:lineRule="exact"/>
        <w:ind w:firstLine="643"/>
      </w:pPr>
      <w:r>
        <w:rPr>
          <w:b/>
          <w:bCs/>
        </w:rPr>
        <w:t>加强油气产供储销体系建设。</w:t>
      </w:r>
      <w:r>
        <w:t>加快推进粤东天然气主干管网惠州</w:t>
      </w:r>
      <w:r>
        <w:rPr>
          <w:rFonts w:hint="eastAsia"/>
        </w:rPr>
        <w:t>—</w:t>
      </w:r>
      <w:r>
        <w:t>海丰段、惠州LNG接收站外输管道建设，推进城镇燃气管网和工业大用户中高压天然气支线建设，推进天然气主干管网</w:t>
      </w:r>
      <w:r>
        <w:rPr>
          <w:rFonts w:hint="eastAsia"/>
        </w:rPr>
        <w:t>“</w:t>
      </w:r>
      <w:r>
        <w:t>县县通工程</w:t>
      </w:r>
      <w:r>
        <w:rPr>
          <w:rFonts w:hint="eastAsia"/>
        </w:rPr>
        <w:t>”</w:t>
      </w:r>
      <w:r>
        <w:t>，逐步形成内外联通、多源保障、统一调配、互保互供的天然气供应网络。加快天然气储备设施建设，进一步提高天然气高压管道系统供气保障能力和储气调峰能力。保障成品油稳定供应。</w:t>
      </w:r>
    </w:p>
    <w:p>
      <w:pPr>
        <w:overflowPunct w:val="0"/>
        <w:spacing w:line="600" w:lineRule="exact"/>
        <w:ind w:firstLine="643"/>
      </w:pPr>
      <w:r>
        <w:rPr>
          <w:b/>
          <w:bCs/>
        </w:rPr>
        <w:t>加快推进电网建设。</w:t>
      </w:r>
      <w:r>
        <w:t>提升电网智能化和装备技术水平，全面打造安全、可靠、绿色、高效的智能电网，提高供电可靠性和电网应急保障能力。统筹推进广东500千伏湾区外环中段、演达至惠州、博罗至沙角、茅湖至崇文、崇文至紫荆、祯州至鲲鹏等骨干电网建设；规划新建中区、东江、衙前、谟岭、莲塘等16座220千伏变电站。推进实施电网下地工程。到2025年，全市新建110千伏及以上变电站86座，用电负荷达1500万千瓦。</w:t>
      </w:r>
    </w:p>
    <w:p>
      <w:pPr>
        <w:overflowPunct w:val="0"/>
        <w:spacing w:line="600" w:lineRule="exact"/>
        <w:ind w:firstLine="643"/>
      </w:pPr>
      <w:r>
        <w:rPr>
          <w:b/>
          <w:bCs/>
        </w:rPr>
        <w:t>推动能源清洁高效利用。</w:t>
      </w:r>
      <w:r>
        <w:t>坚持能源节约与高效利用并举，加强全社会节能管理，推动工业、交通、建筑、公共机构等重点用能领域能效提升。倡导绿色生活方式和消费文化，抑制不合理能源消费。加强能源需求侧管理，推动用能方式变革，引导用户自主参与调峰、错峰，提高能源系统经济性和运行效率。</w:t>
      </w:r>
    </w:p>
    <w:p>
      <w:pPr>
        <w:overflowPunct w:val="0"/>
        <w:spacing w:line="240" w:lineRule="auto"/>
        <w:ind w:firstLine="640"/>
      </w:pPr>
    </w:p>
    <w:p>
      <w:pPr>
        <w:pStyle w:val="5"/>
        <w:overflowPunct w:val="0"/>
        <w:spacing w:line="600" w:lineRule="exact"/>
      </w:pPr>
      <w:bookmarkStart w:id="129" w:name="_Toc22433"/>
      <w:bookmarkStart w:id="130" w:name="_Toc14931"/>
      <w:bookmarkStart w:id="131" w:name="_Toc7998"/>
      <w:bookmarkStart w:id="132" w:name="_Toc10307"/>
      <w:r>
        <w:t>第</w:t>
      </w:r>
      <w:r>
        <w:rPr>
          <w:rFonts w:hint="eastAsia"/>
        </w:rPr>
        <w:t>五</w:t>
      </w:r>
      <w:r>
        <w:t xml:space="preserve">节  </w:t>
      </w:r>
      <w:r>
        <w:rPr>
          <w:rFonts w:hint="eastAsia"/>
        </w:rPr>
        <w:t>建设</w:t>
      </w:r>
      <w:r>
        <w:t>水利保障体系</w:t>
      </w:r>
      <w:bookmarkEnd w:id="129"/>
      <w:bookmarkEnd w:id="130"/>
      <w:bookmarkEnd w:id="131"/>
      <w:bookmarkEnd w:id="132"/>
    </w:p>
    <w:p>
      <w:pPr>
        <w:overflowPunct w:val="0"/>
        <w:spacing w:line="600" w:lineRule="exact"/>
        <w:ind w:firstLine="643"/>
      </w:pPr>
      <w:r>
        <w:rPr>
          <w:b/>
          <w:bCs/>
        </w:rPr>
        <w:t>构建功能完备的防洪减灾体系。</w:t>
      </w:r>
      <w:r>
        <w:t>按照</w:t>
      </w:r>
      <w:r>
        <w:rPr>
          <w:rFonts w:hint="eastAsia"/>
        </w:rPr>
        <w:t>“</w:t>
      </w:r>
      <w:r>
        <w:t>补短板、强弱项、保安全</w:t>
      </w:r>
      <w:r>
        <w:rPr>
          <w:rFonts w:hint="eastAsia"/>
        </w:rPr>
        <w:t>”</w:t>
      </w:r>
      <w:r>
        <w:t>的总体思路，加快水利基础设施建设，提升主要河流、重点流域防控排涝能力。坚持工程措施和非工程措施相结合，持续推进中小河流治理，重点开展白花河、潼湖、淡水河、永汉河等流域治理。注重病险水库、水闸除险加固，推进主要江海堤防加固，完成白盆珠、观洞等大中型水库除险加固，整体提升区域防洪、沿海防潮减灾能力。强化重点涝区治理和山洪灾害防治，加快推进重点流域蓄滞洪区规划建设，保障重点地区、重要交通干线防洪安全。</w:t>
      </w:r>
    </w:p>
    <w:p>
      <w:pPr>
        <w:overflowPunct w:val="0"/>
        <w:spacing w:line="600" w:lineRule="exact"/>
        <w:ind w:firstLine="643"/>
      </w:pPr>
      <w:r>
        <w:rPr>
          <w:b/>
          <w:bCs/>
        </w:rPr>
        <w:t>构建集约高效的水资源保障体系。</w:t>
      </w:r>
      <w:r>
        <w:t>优化水资源空间配置，加快推进白盆珠水库、大坑水库等城乡重大应急备用水源和水资源配置工程建设。统筹东江、西枝江等大江大河与大中型水库相结合的</w:t>
      </w:r>
      <w:r>
        <w:rPr>
          <w:rFonts w:hint="eastAsia"/>
        </w:rPr>
        <w:t>“</w:t>
      </w:r>
      <w:r>
        <w:t>江库互备联调</w:t>
      </w:r>
      <w:r>
        <w:rPr>
          <w:rFonts w:hint="eastAsia"/>
        </w:rPr>
        <w:t>”</w:t>
      </w:r>
      <w:r>
        <w:t>供水格局，有效解决惠阳、大亚湾、稔平半岛等区域用水问题，提高水资源调控水平和供水保障能力。实施农村饮水巩固提升工程，保障农村供水安全。</w:t>
      </w:r>
    </w:p>
    <w:p>
      <w:pPr>
        <w:overflowPunct w:val="0"/>
        <w:spacing w:line="600" w:lineRule="exact"/>
        <w:ind w:firstLine="643"/>
        <w:rPr>
          <w:b/>
          <w:bCs/>
        </w:rPr>
      </w:pPr>
      <w:r>
        <w:rPr>
          <w:b/>
          <w:bCs/>
        </w:rPr>
        <w:t>构建智慧安全的现代水利管理体系</w:t>
      </w:r>
      <w:r>
        <w:t>。推进智慧水利建设，实施水利标准化管理，提升水利管理效能。加强防洪预警能力建设，完善大江大河应急预案，提高雨情汛情预报水平，提升防汛应急能力。充分发挥河</w:t>
      </w:r>
      <w:r>
        <w:rPr>
          <w:rFonts w:hint="eastAsia"/>
        </w:rPr>
        <w:t>湖</w:t>
      </w:r>
      <w:r>
        <w:t>长制作用，建立河湖管理长效机制，规范采砂管理，推动河道清淤疏浚常态化、标准化，确保江河</w:t>
      </w:r>
      <w:r>
        <w:rPr>
          <w:rFonts w:hint="eastAsia"/>
        </w:rPr>
        <w:t>湖</w:t>
      </w:r>
      <w:r>
        <w:t>库安全，打造水利强市。</w:t>
      </w:r>
      <w:r>
        <w:rPr>
          <w:b/>
          <w:bCs/>
        </w:rPr>
        <w:br w:type="page"/>
      </w:r>
    </w:p>
    <w:p>
      <w:pPr>
        <w:pStyle w:val="4"/>
        <w:overflowPunct w:val="0"/>
        <w:rPr>
          <w:rFonts w:ascii="方正小标宋_GBK" w:eastAsia="方正小标宋_GBK"/>
          <w:sz w:val="36"/>
          <w:szCs w:val="36"/>
        </w:rPr>
      </w:pPr>
      <w:bookmarkStart w:id="133" w:name="_Toc6058"/>
      <w:bookmarkStart w:id="134" w:name="_Toc16182"/>
      <w:bookmarkStart w:id="135" w:name="_Toc22725"/>
      <w:bookmarkStart w:id="136" w:name="_Toc24369"/>
      <w:r>
        <w:rPr>
          <w:rFonts w:hint="eastAsia" w:ascii="方正小标宋_GBK" w:eastAsia="方正小标宋_GBK"/>
          <w:sz w:val="36"/>
          <w:szCs w:val="36"/>
        </w:rPr>
        <w:t>第七章  积极融入新发展格局 培育高质量发展新动能</w:t>
      </w:r>
      <w:bookmarkEnd w:id="133"/>
      <w:bookmarkEnd w:id="134"/>
      <w:bookmarkEnd w:id="135"/>
      <w:bookmarkEnd w:id="136"/>
    </w:p>
    <w:p>
      <w:pPr>
        <w:overflowPunct w:val="0"/>
        <w:spacing w:line="600" w:lineRule="exact"/>
        <w:ind w:firstLine="640"/>
      </w:pPr>
    </w:p>
    <w:p>
      <w:pPr>
        <w:overflowPunct w:val="0"/>
        <w:spacing w:line="600" w:lineRule="exact"/>
        <w:ind w:firstLine="640"/>
      </w:pPr>
      <w:r>
        <w:t>全面贯彻落实构建新发展格局的战略部署，扭住供给侧结构性改革，注重需求侧管理，实施扩大内需战略，持续推进更高水平对外开放，更好利用国内国际两个市场、两种资源，形成需求牵引供给、供给创造需求的更高水平动态平衡，培育高质量发展新动能。</w:t>
      </w:r>
    </w:p>
    <w:p>
      <w:pPr>
        <w:overflowPunct w:val="0"/>
        <w:spacing w:line="600" w:lineRule="exact"/>
        <w:ind w:firstLine="640"/>
      </w:pPr>
    </w:p>
    <w:p>
      <w:pPr>
        <w:pStyle w:val="5"/>
        <w:overflowPunct w:val="0"/>
        <w:spacing w:line="600" w:lineRule="exact"/>
      </w:pPr>
      <w:bookmarkStart w:id="137" w:name="_Toc4520"/>
      <w:bookmarkStart w:id="138" w:name="_Toc16761"/>
      <w:bookmarkStart w:id="139" w:name="_Toc29108"/>
      <w:bookmarkStart w:id="140" w:name="_Toc3266"/>
      <w:r>
        <w:rPr>
          <w:rFonts w:hint="eastAsia"/>
        </w:rPr>
        <w:t>第一节  持续扩大有效投资</w:t>
      </w:r>
      <w:bookmarkEnd w:id="137"/>
      <w:bookmarkEnd w:id="138"/>
      <w:bookmarkEnd w:id="139"/>
      <w:bookmarkEnd w:id="140"/>
    </w:p>
    <w:p>
      <w:pPr>
        <w:overflowPunct w:val="0"/>
        <w:spacing w:line="600" w:lineRule="exact"/>
        <w:ind w:firstLine="643"/>
      </w:pPr>
      <w:r>
        <w:rPr>
          <w:b/>
          <w:bCs/>
        </w:rPr>
        <w:t>优化投资结构。</w:t>
      </w:r>
      <w:r>
        <w:t>加大公共卫生服务、应急物资保障领域投入，加强现代交通体系、巩固脱贫攻坚、能源、水利、农业农村、生态环保、市政设施、社会民生、城镇老旧小区改造等补短板领域建设，加快5G网络等新型基础设施建设进度，继续加大工业投资力度，大力引进和培育新产业、新技术、新业态的实体项目，谋划储备实施一批重大战略、引领转型升级的重大产业项目，打造经济新增长点。</w:t>
      </w:r>
    </w:p>
    <w:p>
      <w:pPr>
        <w:overflowPunct w:val="0"/>
        <w:spacing w:line="600" w:lineRule="exact"/>
        <w:ind w:firstLine="643"/>
      </w:pPr>
      <w:r>
        <w:rPr>
          <w:b/>
          <w:bCs/>
        </w:rPr>
        <w:t>提高投资效率。</w:t>
      </w:r>
      <w:r>
        <w:t>优化调整政府投资范围，规范使用和科学统筹政府投资资金，有效撬动社会投资。加强投资项目在线审批服务，加快推进重大项目前期工作。落实完善提升服务质量推进重大项目建设十二条工作措施，完善重大项目建设专班机制，巩固提升重大项目服务质量。建立完善企业投资项目落地和奖惩机制。培育和引进高质量项目，争取更多重点项目纳入上级规划。持续优化民间投资环境，进一步激发民间投资的主动性和积极性。</w:t>
      </w:r>
    </w:p>
    <w:p>
      <w:pPr>
        <w:overflowPunct w:val="0"/>
        <w:spacing w:line="600" w:lineRule="exact"/>
        <w:ind w:firstLine="643"/>
      </w:pPr>
      <w:r>
        <w:rPr>
          <w:b/>
          <w:bCs/>
        </w:rPr>
        <w:t>落实要素保障。</w:t>
      </w:r>
      <w:r>
        <w:rPr>
          <w:rFonts w:hint="eastAsia"/>
        </w:rPr>
        <w:t>完善“项目跟着规划走、要素跟着项目走”的要素保障机制，</w:t>
      </w:r>
      <w:r>
        <w:t>灵活运用财政资金、专项债、基金、企业债、信贷、融资租赁等财政和金融工具，完善项目用地、用海、用林保障，强化水泥、砂石、混凝土保供稳价。深化投融资体制改革，构建多元化投融资机制，充分发挥市场主体作用，引导各类资金扩大有效投资，积极稳妥遴选一批重点领域项目发行基础设施领域不动产投资信托基金（REITs），盘活基础设施存量资产，形成投资良性循环。</w:t>
      </w:r>
    </w:p>
    <w:p>
      <w:pPr>
        <w:overflowPunct w:val="0"/>
        <w:spacing w:line="600" w:lineRule="exact"/>
        <w:ind w:firstLine="640"/>
      </w:pPr>
    </w:p>
    <w:p>
      <w:pPr>
        <w:pStyle w:val="5"/>
        <w:overflowPunct w:val="0"/>
        <w:spacing w:line="600" w:lineRule="exact"/>
      </w:pPr>
      <w:bookmarkStart w:id="141" w:name="_Toc12736"/>
      <w:bookmarkStart w:id="142" w:name="_Toc19254"/>
      <w:bookmarkStart w:id="143" w:name="_Toc13972"/>
      <w:bookmarkStart w:id="144" w:name="_Toc18332"/>
      <w:r>
        <w:rPr>
          <w:rFonts w:hint="eastAsia"/>
        </w:rPr>
        <w:t>第二节</w:t>
      </w:r>
      <w:r>
        <w:t xml:space="preserve"> </w:t>
      </w:r>
      <w:bookmarkStart w:id="145" w:name="_Toc11164"/>
      <w:r>
        <w:rPr>
          <w:rFonts w:hint="eastAsia"/>
        </w:rPr>
        <w:t xml:space="preserve"> </w:t>
      </w:r>
      <w:r>
        <w:t>推动消费扩容提质</w:t>
      </w:r>
      <w:bookmarkEnd w:id="141"/>
      <w:bookmarkEnd w:id="142"/>
      <w:bookmarkEnd w:id="143"/>
      <w:bookmarkEnd w:id="144"/>
      <w:bookmarkEnd w:id="145"/>
    </w:p>
    <w:p>
      <w:pPr>
        <w:overflowPunct w:val="0"/>
        <w:spacing w:line="600" w:lineRule="exact"/>
        <w:ind w:firstLine="643"/>
      </w:pPr>
      <w:r>
        <w:rPr>
          <w:b/>
          <w:bCs/>
        </w:rPr>
        <w:t>培育新型消费。</w:t>
      </w:r>
      <w:r>
        <w:t>支持互联网平台企业向线下延伸拓展，引导实体企业更多应用数字化产品和服务，加快传统线下业态数字化改造和转型升级，推动线上线下融合消费双向提速。发展互联网医疗、在线教育、在线文娱、智慧旅游、智慧商店等消费，提升文化、旅游、体育、健康、养老、家政等领域消费品质，培育消费新增长点。创新无接触式消费模式，积极发展参与式、体验式消费模式和业态。营造良好新型消费环境，积极推动由技术创新、商业模式创新、新需求拉动、产业链细化融合形成的新业态新模式发展。</w:t>
      </w:r>
    </w:p>
    <w:p>
      <w:pPr>
        <w:overflowPunct w:val="0"/>
        <w:spacing w:line="600" w:lineRule="exact"/>
        <w:ind w:firstLine="643"/>
      </w:pPr>
      <w:r>
        <w:rPr>
          <w:b/>
          <w:bCs/>
        </w:rPr>
        <w:t>提升传统消费。</w:t>
      </w:r>
      <w:r>
        <w:t>坚持</w:t>
      </w:r>
      <w:r>
        <w:rPr>
          <w:rFonts w:hint="eastAsia"/>
        </w:rPr>
        <w:t>“</w:t>
      </w:r>
      <w:r>
        <w:t>房子是用来住的、不是用来炒的</w:t>
      </w:r>
      <w:r>
        <w:rPr>
          <w:rFonts w:hint="eastAsia"/>
        </w:rPr>
        <w:t>”</w:t>
      </w:r>
      <w:r>
        <w:t>定位，完善调控政策、因地制宜、多措并举，编制实施</w:t>
      </w:r>
      <w:r>
        <w:rPr>
          <w:rFonts w:hint="eastAsia"/>
        </w:rPr>
        <w:t>“</w:t>
      </w:r>
      <w:r>
        <w:t>一城一策</w:t>
      </w:r>
      <w:r>
        <w:rPr>
          <w:rFonts w:hint="eastAsia"/>
        </w:rPr>
        <w:t>”</w:t>
      </w:r>
      <w:r>
        <w:t>工作方案，持续做好房地产领域防风险工作，促进住房消费健康发展。释放汽车消费潜力，推行</w:t>
      </w:r>
      <w:r>
        <w:rPr>
          <w:rFonts w:hint="eastAsia"/>
        </w:rPr>
        <w:t>“</w:t>
      </w:r>
      <w:r>
        <w:t>汽车下乡</w:t>
      </w:r>
      <w:r>
        <w:rPr>
          <w:rFonts w:hint="eastAsia"/>
        </w:rPr>
        <w:t>”“</w:t>
      </w:r>
      <w:r>
        <w:t>以旧换新</w:t>
      </w:r>
      <w:r>
        <w:rPr>
          <w:rFonts w:hint="eastAsia"/>
        </w:rPr>
        <w:t>”</w:t>
      </w:r>
      <w:r>
        <w:t>，鼓励购买新能源汽车，最大限度减少行政限制，推动汽车等消费品由购买管理向使用管理转变。完善成品油零售体系。围绕吃穿用住行的消费升级，进一步完善促进消费政策机制，有效增加高品质高性价比消费供给，加强日常消费品牌和质量建设与监管。合理增加公共消费，撬动整体消费需求，激发社会消费意愿。落实带薪休假制度，扩大节假日消费。</w:t>
      </w:r>
    </w:p>
    <w:p>
      <w:pPr>
        <w:overflowPunct w:val="0"/>
        <w:spacing w:line="600" w:lineRule="exact"/>
        <w:ind w:firstLine="643"/>
      </w:pPr>
      <w:r>
        <w:rPr>
          <w:b/>
          <w:bCs/>
        </w:rPr>
        <w:t>扩大农村消费。</w:t>
      </w:r>
      <w:r>
        <w:t>加快发展农村流通体系，建立以乡镇为中心的农村流通服务网络，加强特色农产品优势区现代流通基础设施建设，加快发展农产品冷链物流，支持农产品分拣、加工、包装等一体化集配设施建设</w:t>
      </w:r>
      <w:r>
        <w:rPr>
          <w:rFonts w:hint="eastAsia"/>
        </w:rPr>
        <w:t>。继续</w:t>
      </w:r>
      <w:r>
        <w:t>扩大电子商务</w:t>
      </w:r>
      <w:r>
        <w:rPr>
          <w:rFonts w:hint="eastAsia"/>
        </w:rPr>
        <w:t>进</w:t>
      </w:r>
      <w:r>
        <w:t>农村覆盖面。改善提升乡村旅游商品和服务供给，培育特色农村休闲、旅游、观光等消费市场。拓宽绿色、生态产品线上线下销售渠道，深入开展消费扶贫，丰富城乡市场供给。</w:t>
      </w:r>
    </w:p>
    <w:p>
      <w:pPr>
        <w:overflowPunct w:val="0"/>
        <w:spacing w:line="600" w:lineRule="exact"/>
        <w:ind w:firstLine="640"/>
      </w:pPr>
    </w:p>
    <w:p>
      <w:pPr>
        <w:pStyle w:val="5"/>
        <w:overflowPunct w:val="0"/>
        <w:spacing w:line="600" w:lineRule="exact"/>
      </w:pPr>
      <w:bookmarkStart w:id="146" w:name="_Toc3937"/>
      <w:bookmarkStart w:id="147" w:name="_Toc16303"/>
      <w:bookmarkStart w:id="148" w:name="_Toc9903"/>
      <w:bookmarkStart w:id="149" w:name="_Toc25539"/>
      <w:r>
        <w:t>第</w:t>
      </w:r>
      <w:r>
        <w:rPr>
          <w:rFonts w:hint="eastAsia"/>
        </w:rPr>
        <w:t>三</w:t>
      </w:r>
      <w:r>
        <w:t xml:space="preserve">节  </w:t>
      </w:r>
      <w:r>
        <w:rPr>
          <w:rFonts w:hint="eastAsia"/>
        </w:rPr>
        <w:t>推动更高水平对外开放</w:t>
      </w:r>
      <w:bookmarkEnd w:id="146"/>
      <w:bookmarkEnd w:id="147"/>
      <w:bookmarkEnd w:id="148"/>
      <w:bookmarkEnd w:id="149"/>
    </w:p>
    <w:p>
      <w:pPr>
        <w:overflowPunct w:val="0"/>
        <w:spacing w:line="600" w:lineRule="exact"/>
        <w:ind w:firstLine="643"/>
      </w:pPr>
      <w:r>
        <w:rPr>
          <w:b/>
          <w:bCs/>
        </w:rPr>
        <w:t>推动对外贸易高质量发展。</w:t>
      </w:r>
      <w:r>
        <w:t>抢抓加入区域全面经济伙伴关系协定（RCEP）和签订中欧投资协定带来的</w:t>
      </w:r>
      <w:r>
        <w:rPr>
          <w:rFonts w:hint="eastAsia"/>
        </w:rPr>
        <w:t>“</w:t>
      </w:r>
      <w:r>
        <w:t>窗口期</w:t>
      </w:r>
      <w:r>
        <w:rPr>
          <w:rFonts w:hint="eastAsia"/>
        </w:rPr>
        <w:t>”</w:t>
      </w:r>
      <w:r>
        <w:t>，深化与</w:t>
      </w:r>
      <w:r>
        <w:rPr>
          <w:rFonts w:hint="eastAsia"/>
        </w:rPr>
        <w:t>“</w:t>
      </w:r>
      <w:r>
        <w:t>一带一路</w:t>
      </w:r>
      <w:r>
        <w:rPr>
          <w:rFonts w:hint="eastAsia"/>
        </w:rPr>
        <w:t>”</w:t>
      </w:r>
      <w:r>
        <w:t>沿线国家经贸合作，稳住欧美市场，深耕日韩市场，深度挖掘东南亚国家和孟中印缅经济走廊市场潜力，扩展亚洲、非洲、拉美等新兴市场。稳定传统优势产品出口，扩大电子信息、高端装备制造、生物医药、新材料、新能源、环境保护等领域产品出口，支持加工贸易企业提升产品技术含量和附加值，发展一般贸易支柱企业，培育外贸自主品牌，提升一般贸易比重，优化对外贸易结构。培育发展外贸新业态，鼓励外贸综合服务、离岸贸易、保税维修、跨境电商、市场采购贸易等新业态新模式加快发展壮大。加大进口支持力度，扩大关键零部件、不可替代原材料、生产需要的其他重要生产性物资、民生必需品进口，保障企业生产和民众消费需求。</w:t>
      </w:r>
    </w:p>
    <w:p>
      <w:pPr>
        <w:overflowPunct w:val="0"/>
        <w:spacing w:line="600" w:lineRule="exact"/>
        <w:ind w:firstLine="643"/>
      </w:pPr>
      <w:r>
        <w:rPr>
          <w:b/>
          <w:bCs/>
        </w:rPr>
        <w:t>提升外资利用规模和质量。</w:t>
      </w:r>
      <w:r>
        <w:t>全面贯彻落实《外商投资法》，落实准入前国民待遇加负面清单管理制度。用好重大外资项目协调服务机制。着力引进高端产业和先进技术，坚持招才引智与招商引资相结合，推动实现利用外资从数量规模型向质量效益型转变。完善外资企业权益保护机制，营造内外资企业公平竞争的法治环境。完善发展总部经济鼓励政策，鼓励跨国公司在惠设立地区总部和研发、运营、结算中心等功能性机构。对标自贸区建设中韩（惠州）产业园，争取复制推广自由贸易试验区改革试点经验，在若干重点领域实现突破。支持大亚湾和仲恺探索利用和服务外资体制机制创新。谋划建设广东自贸试验区惠州片区。</w:t>
      </w:r>
    </w:p>
    <w:p>
      <w:pPr>
        <w:overflowPunct w:val="0"/>
        <w:spacing w:line="600" w:lineRule="exact"/>
        <w:ind w:firstLine="643"/>
      </w:pPr>
      <w:r>
        <w:rPr>
          <w:b/>
          <w:bCs/>
        </w:rPr>
        <w:t>加快建设跨境电商综合试验区和海关特殊监管区。</w:t>
      </w:r>
      <w:r>
        <w:t>完善跨境电子商务综合监管服务体系，重点在业态创新、海关监管、税收征管、外汇管理等方面积极探索、先行先试。建设完善惠阳车检场跨境电商分拣清关中心，加快推进跨境电子商务综合试验区、跨境电商产业园、机场空港物流园等项目建设，引进和培育一批跨境电子商务平台、龙头企业、外贸综合服务企业。加强对惠州海港、空港、开发区等优势片区申报海关特殊监管区的功能定位研究，争取规划建设新的海关特殊监管区域。规划建成保税物流中心（B型）。</w:t>
      </w:r>
    </w:p>
    <w:p>
      <w:pPr>
        <w:overflowPunct w:val="0"/>
        <w:spacing w:line="600" w:lineRule="exact"/>
        <w:ind w:firstLine="640"/>
      </w:pPr>
    </w:p>
    <w:p>
      <w:pPr>
        <w:pStyle w:val="5"/>
        <w:overflowPunct w:val="0"/>
        <w:spacing w:line="600" w:lineRule="exact"/>
      </w:pPr>
      <w:bookmarkStart w:id="150" w:name="_Toc19755"/>
      <w:bookmarkStart w:id="151" w:name="_Toc7545"/>
      <w:bookmarkStart w:id="152" w:name="_Toc26296"/>
      <w:bookmarkStart w:id="153" w:name="_Toc19058"/>
      <w:r>
        <w:t>第</w:t>
      </w:r>
      <w:r>
        <w:rPr>
          <w:rFonts w:hint="eastAsia"/>
        </w:rPr>
        <w:t>四</w:t>
      </w:r>
      <w:r>
        <w:t xml:space="preserve">节  </w:t>
      </w:r>
      <w:r>
        <w:rPr>
          <w:rFonts w:hint="eastAsia"/>
        </w:rPr>
        <w:t>全面融入“双循环”新发展格局</w:t>
      </w:r>
      <w:bookmarkEnd w:id="150"/>
      <w:bookmarkEnd w:id="151"/>
      <w:bookmarkEnd w:id="152"/>
      <w:bookmarkEnd w:id="153"/>
    </w:p>
    <w:p>
      <w:pPr>
        <w:overflowPunct w:val="0"/>
        <w:spacing w:line="600" w:lineRule="exact"/>
        <w:ind w:firstLine="643"/>
      </w:pPr>
      <w:r>
        <w:rPr>
          <w:b/>
          <w:bCs/>
        </w:rPr>
        <w:t>积极融入国内大循环。</w:t>
      </w:r>
      <w:r>
        <w:t>依托强大国内市场，加强与</w:t>
      </w:r>
      <w:r>
        <w:rPr>
          <w:rFonts w:hint="eastAsia"/>
        </w:rPr>
        <w:t>“</w:t>
      </w:r>
      <w:r>
        <w:t>双区</w:t>
      </w:r>
      <w:r>
        <w:rPr>
          <w:rFonts w:hint="eastAsia"/>
        </w:rPr>
        <w:t>”</w:t>
      </w:r>
      <w:r>
        <w:t>、京津冀、长江经济带、长三角、海南自由贸易港、黄河流域、成渝地区等战略对接、协同联动，发挥惠州产业优势，大力发展内源型、根植型实体经济，推动生产、分配、流通、消费各环节更好融入和服务国内大循环。引进和培育新产业、新业态、新模式，提升供给体系对国内需求的适配性，以高质量产品、高效率服务、高性能供给满足人民高品质、个性化需求，提高</w:t>
      </w:r>
      <w:r>
        <w:rPr>
          <w:rFonts w:hint="eastAsia"/>
        </w:rPr>
        <w:t>“</w:t>
      </w:r>
      <w:r>
        <w:t>惠货</w:t>
      </w:r>
      <w:r>
        <w:rPr>
          <w:rFonts w:hint="eastAsia"/>
        </w:rPr>
        <w:t>”</w:t>
      </w:r>
      <w:r>
        <w:t>市场占有率。加快淘汰落后产能，大力促进新技术快速大规模应用和迭代升级，加快国产化替代进程。推动金融、房地产同实体经济均衡发展，实现上下游、产供销有效衔接。深化生产要素市场化配置和商品服务流通的体制机制改革。</w:t>
      </w:r>
    </w:p>
    <w:p>
      <w:pPr>
        <w:overflowPunct w:val="0"/>
        <w:spacing w:line="600" w:lineRule="exact"/>
        <w:ind w:firstLine="643"/>
      </w:pPr>
      <w:r>
        <w:rPr>
          <w:b/>
          <w:bCs/>
        </w:rPr>
        <w:t>促进国内国际双循环。</w:t>
      </w:r>
      <w:r>
        <w:t>巩固外向型经济优势，协同推进扩大内需和外贸转型升级，以国内大循环吸引全球资源要素，充分利用国内国际两个市场两种资源，积极促进内需和外需、进口和出口、引进外资和对外投资协调发展。加快推动内外贸一体化发展，推进同线同标同质。支持外贸企业出口转内销，引导外贸企业转型、搭建内销渠道，支持生产线转内销改造。加快高质量</w:t>
      </w:r>
      <w:r>
        <w:rPr>
          <w:rFonts w:hint="eastAsia"/>
        </w:rPr>
        <w:t>“</w:t>
      </w:r>
      <w:r>
        <w:t>引进来</w:t>
      </w:r>
      <w:r>
        <w:rPr>
          <w:rFonts w:hint="eastAsia"/>
        </w:rPr>
        <w:t>”</w:t>
      </w:r>
      <w:r>
        <w:t>和高水平</w:t>
      </w:r>
      <w:r>
        <w:rPr>
          <w:rFonts w:hint="eastAsia"/>
        </w:rPr>
        <w:t>“</w:t>
      </w:r>
      <w:r>
        <w:t>走出去</w:t>
      </w:r>
      <w:r>
        <w:rPr>
          <w:rFonts w:hint="eastAsia"/>
        </w:rPr>
        <w:t>”</w:t>
      </w:r>
      <w:r>
        <w:t>步伐，健全外商投资和对外投资促进体系，培育参与国际合作和竞争新优势。</w:t>
      </w:r>
    </w:p>
    <w:p>
      <w:pPr>
        <w:overflowPunct w:val="0"/>
        <w:spacing w:line="600" w:lineRule="exact"/>
        <w:ind w:firstLine="643"/>
      </w:pPr>
      <w:r>
        <w:rPr>
          <w:b/>
          <w:bCs/>
        </w:rPr>
        <w:t>完善现代商贸流通体系。</w:t>
      </w:r>
      <w:r>
        <w:t>统筹推进现代流通体系软硬件建设，有效整合物流基础设施资源，加快建设内联外通的综合交通运输网络，提升商贸流通效率。大力推进快递物流、冷链物流体系建设，完</w:t>
      </w:r>
      <w:r>
        <w:rPr>
          <w:rFonts w:hint="eastAsia"/>
        </w:rPr>
        <w:t>善</w:t>
      </w:r>
      <w:r>
        <w:t>城乡物流配送体系。构建新型物流平台，积极发展无人机（车）物流，支持无接触交易服务。围绕数字化、场景化、体验式、互动式、商旅体融合，加快成熟商圈转型升级和城市特色商业街区改造升级，规划建设现代化新型商圈，探索建设有地方特色的市内免税店，提升惠州消费规模和层次，集聚高品质品牌，争取打造区域消费中心城市。改善消费环境，畅通消费者维权渠道，强化市场秩序监管和消费者权益保护。</w:t>
      </w:r>
    </w:p>
    <w:p>
      <w:pPr>
        <w:overflowPunct w:val="0"/>
        <w:spacing w:line="240" w:lineRule="auto"/>
        <w:ind w:firstLine="0" w:firstLineChars="0"/>
      </w:pPr>
    </w:p>
    <w:p>
      <w:pPr>
        <w:overflowPunct w:val="0"/>
        <w:spacing w:line="600" w:lineRule="exact"/>
        <w:ind w:firstLine="640"/>
      </w:pPr>
      <w:r>
        <w:br w:type="page"/>
      </w:r>
    </w:p>
    <w:p>
      <w:pPr>
        <w:pStyle w:val="4"/>
        <w:overflowPunct w:val="0"/>
        <w:rPr>
          <w:rFonts w:ascii="方正小标宋_GBK" w:eastAsia="方正小标宋_GBK"/>
          <w:sz w:val="36"/>
          <w:szCs w:val="36"/>
        </w:rPr>
      </w:pPr>
      <w:bookmarkStart w:id="154" w:name="_Toc6637"/>
      <w:bookmarkStart w:id="155" w:name="_Toc23853"/>
      <w:bookmarkStart w:id="156" w:name="_Toc14604"/>
      <w:bookmarkStart w:id="157" w:name="_Toc16666"/>
      <w:r>
        <w:rPr>
          <w:rFonts w:hint="eastAsia" w:ascii="方正小标宋_GBK" w:eastAsia="方正小标宋_GBK"/>
          <w:sz w:val="36"/>
          <w:szCs w:val="36"/>
        </w:rPr>
        <w:t>第八章  推动更深层次改革 激发高质量发展新活力</w:t>
      </w:r>
      <w:bookmarkEnd w:id="154"/>
      <w:bookmarkEnd w:id="155"/>
      <w:bookmarkEnd w:id="156"/>
      <w:bookmarkEnd w:id="157"/>
    </w:p>
    <w:p>
      <w:pPr>
        <w:overflowPunct w:val="0"/>
        <w:spacing w:line="600" w:lineRule="exact"/>
        <w:ind w:firstLine="640"/>
      </w:pPr>
    </w:p>
    <w:p>
      <w:pPr>
        <w:overflowPunct w:val="0"/>
        <w:spacing w:line="600" w:lineRule="exact"/>
        <w:ind w:firstLine="640"/>
      </w:pPr>
      <w:r>
        <w:t>充分发挥市场在资源配置中的决定性作用，更好发挥政府作用，创新政府治理体系，加快构建高水平社会主义市场经济体制，激发各类市场主体活力。</w:t>
      </w:r>
    </w:p>
    <w:p>
      <w:pPr>
        <w:overflowPunct w:val="0"/>
        <w:spacing w:line="600" w:lineRule="exact"/>
        <w:ind w:firstLine="0" w:firstLineChars="0"/>
      </w:pPr>
    </w:p>
    <w:p>
      <w:pPr>
        <w:pStyle w:val="5"/>
        <w:overflowPunct w:val="0"/>
        <w:spacing w:line="600" w:lineRule="exact"/>
      </w:pPr>
      <w:bookmarkStart w:id="158" w:name="_Toc18906"/>
      <w:bookmarkStart w:id="159" w:name="_Toc11025"/>
      <w:bookmarkStart w:id="160" w:name="_Toc19657"/>
      <w:bookmarkStart w:id="161" w:name="_Toc15543"/>
      <w:r>
        <w:rPr>
          <w:rFonts w:hint="eastAsia"/>
        </w:rPr>
        <w:t>第一节  建设高标准市场体系</w:t>
      </w:r>
      <w:bookmarkEnd w:id="158"/>
      <w:bookmarkEnd w:id="159"/>
      <w:bookmarkEnd w:id="160"/>
      <w:bookmarkEnd w:id="161"/>
    </w:p>
    <w:p>
      <w:pPr>
        <w:overflowPunct w:val="0"/>
        <w:spacing w:line="600" w:lineRule="exact"/>
        <w:ind w:firstLine="643"/>
      </w:pPr>
      <w:r>
        <w:rPr>
          <w:b/>
          <w:bCs/>
        </w:rPr>
        <w:t>全面完善产权保护制度。</w:t>
      </w:r>
      <w:r>
        <w:t>加强国有资产产权、自然资源资产产权、民营经济产权、农村集体产权等各种所有制经济产权保护，持续清理对不同所有制经济产权区别对待的法规，进一步细化完善产权登记、评估、监管、交易等综合管理体系。健全产权执法司法保护制度，完善涉企产权保护案件的申诉、复查、再审等机制，推动涉产权冤错案件依法甄别纠正常态化机制化。完善政府守信践诺机制，建立涉政府产权纠纷问题专项治理常态化工作机制。强化知识产权保护，建立健全专利、商标等无形资产评估管理体系，探索知识产权侵权快速反应机制。完善土地、房屋、林权等财产征收、征用、补偿制度，完善农村集体产权确权和保护制度，加强农村土地经营权流转规范管理和服务。</w:t>
      </w:r>
    </w:p>
    <w:p>
      <w:pPr>
        <w:overflowPunct w:val="0"/>
        <w:spacing w:line="600" w:lineRule="exact"/>
        <w:ind w:firstLine="643"/>
      </w:pPr>
      <w:r>
        <w:rPr>
          <w:b/>
          <w:bCs/>
        </w:rPr>
        <w:t>全面实施市场准入负面清单制度。</w:t>
      </w:r>
      <w:r>
        <w:t>全面落实</w:t>
      </w:r>
      <w:r>
        <w:rPr>
          <w:rFonts w:hint="eastAsia"/>
        </w:rPr>
        <w:t>“</w:t>
      </w:r>
      <w:r>
        <w:t>全国一张清单</w:t>
      </w:r>
      <w:r>
        <w:rPr>
          <w:rFonts w:hint="eastAsia"/>
        </w:rPr>
        <w:t>”</w:t>
      </w:r>
      <w:r>
        <w:t>管理模式，推动市场准入负面清单与行政审批体系紧密衔接、相互匹配，全面推行涉企经营事项告知承诺制。持续深入开展市场准入隐形壁垒破除工作，畅通市场主体对隐性壁垒的意见反馈渠道和处理回应机制，建立违反市场准入负面清单监督问责机制。以服务业为重点有序放宽准入限制，在金融、医疗、教育、体育、托幼、环保、市政等领域减少市场准入限制。完善市场</w:t>
      </w:r>
      <w:r>
        <w:rPr>
          <w:rFonts w:hint="eastAsia"/>
        </w:rPr>
        <w:t>主体</w:t>
      </w:r>
      <w:r>
        <w:t>退出机制，优化注销办理流程，对未开业以及无债权债务非上市企业、个体工商户实行简易注销程序</w:t>
      </w:r>
      <w:r>
        <w:rPr>
          <w:rFonts w:hint="eastAsia"/>
        </w:rPr>
        <w:t>，</w:t>
      </w:r>
      <w:r>
        <w:t>对资产数额不大、经营地域不广的企业实行简易破产程序。</w:t>
      </w:r>
    </w:p>
    <w:p>
      <w:pPr>
        <w:overflowPunct w:val="0"/>
        <w:spacing w:line="600" w:lineRule="exact"/>
        <w:ind w:firstLine="643"/>
      </w:pPr>
      <w:r>
        <w:rPr>
          <w:b/>
          <w:bCs/>
        </w:rPr>
        <w:t>全面完善公平竞争制度。</w:t>
      </w:r>
      <w:r>
        <w:t>落实</w:t>
      </w:r>
      <w:r>
        <w:rPr>
          <w:rFonts w:hint="eastAsia"/>
        </w:rPr>
        <w:t>“</w:t>
      </w:r>
      <w:r>
        <w:t>审查是常态</w:t>
      </w:r>
      <w:r>
        <w:rPr>
          <w:rFonts w:hint="eastAsia"/>
        </w:rPr>
        <w:t>、</w:t>
      </w:r>
      <w:r>
        <w:t>不审查是例外</w:t>
      </w:r>
      <w:r>
        <w:rPr>
          <w:rFonts w:hint="eastAsia"/>
        </w:rPr>
        <w:t>”</w:t>
      </w:r>
      <w:r>
        <w:t>，强化公平竞争审查制度刚性约束。定期开展市场竞争状况评估，建立公平竞争审查抽查、考核、公示制度，建立健全第三方审查和评估机制，探索建立公平竞争审查举报处理和回应机制。加强和改进反垄断与反不正当竞争执法，加大</w:t>
      </w:r>
      <w:r>
        <w:rPr>
          <w:rFonts w:hint="eastAsia"/>
        </w:rPr>
        <w:t>对</w:t>
      </w:r>
      <w:r>
        <w:t>平台经济、共享经济等新业态领域垄断和不正当竞</w:t>
      </w:r>
      <w:r>
        <w:rPr>
          <w:rFonts w:hint="eastAsia"/>
        </w:rPr>
        <w:t>争</w:t>
      </w:r>
      <w:r>
        <w:t>执法力度。完善涉企收费目录清单制度，严厉查处涉企违规收费行为。破除区域分割和地方保护，持续清理废除妨碍全国统一市场和公平竞争的存量政策。</w:t>
      </w:r>
    </w:p>
    <w:p>
      <w:pPr>
        <w:overflowPunct w:val="0"/>
        <w:spacing w:line="600" w:lineRule="exact"/>
        <w:ind w:firstLine="643"/>
        <w:rPr>
          <w:b/>
          <w:bCs/>
        </w:rPr>
      </w:pPr>
      <w:r>
        <w:rPr>
          <w:b/>
          <w:bCs/>
        </w:rPr>
        <w:t>深化国资国企改革。</w:t>
      </w:r>
      <w:r>
        <w:t>进一步明确国有企业战略定位和主责主业，推动国有经济布局优化、结构调整、战略性重组，推动国有资本向基础性、公共性、平台性、引领性等重点领域和关键环节集中，增强国有经济竞争力、创新力、控制力、影响力、抗风险能力。建立健全现代企业制度，深化选人用人机制、薪酬制度改革，完善公司法人治理结构。深化效率为导向的国资经营评价制度改革。健全协同高效监督机制，坚决防止国有资产流失。完善国有企业市场化退出机制。支持市属国有企业积极主动参与国内大循环，发挥好市属国有企业在城市建设、产业发展、民生保障等核心领域的主力军作用。加强党对国有企业的领导，推动党建与经营、人才、项目、业务等全面融合。</w:t>
      </w:r>
    </w:p>
    <w:p>
      <w:pPr>
        <w:overflowPunct w:val="0"/>
        <w:spacing w:line="600" w:lineRule="exact"/>
        <w:ind w:firstLine="643"/>
      </w:pPr>
      <w:r>
        <w:rPr>
          <w:b/>
          <w:bCs/>
        </w:rPr>
        <w:t>支持和引导非公有制经济发展。</w:t>
      </w:r>
      <w:r>
        <w:t>进一步放宽民营企业市场准入，鼓励民营企业参与重大战略和项目，扩大基础设施建设投资主体，带动民营企业参与新型基础设施投资建设运营。依法保护民营企业产权和企业家合法权益，扶持本土民营企业做大做强，吸引外地优质民营企业扎根惠州。切实降低民营企业</w:t>
      </w:r>
      <w:r>
        <w:rPr>
          <w:rFonts w:hint="eastAsia"/>
        </w:rPr>
        <w:t>生产经营</w:t>
      </w:r>
      <w:r>
        <w:t>成本，落实减税降费</w:t>
      </w:r>
      <w:r>
        <w:rPr>
          <w:rFonts w:hint="eastAsia"/>
        </w:rPr>
        <w:t>政策</w:t>
      </w:r>
      <w:r>
        <w:t>，加强转供电价格监管，规范港口、铁路、机场等经营服务性收费，健全民营企业融资征信支持体系，完善中小微企业贷款风险补偿机制。积极引导民营企业建立现代企业制度，参与国有企业改制重组、合资经营和混合所有制改革，推动民营企业加强党组织和工会组织建设。支持中小微企业向</w:t>
      </w:r>
      <w:r>
        <w:rPr>
          <w:rFonts w:hint="eastAsia"/>
        </w:rPr>
        <w:t>“</w:t>
      </w:r>
      <w:r>
        <w:t>专精特新</w:t>
      </w:r>
      <w:r>
        <w:rPr>
          <w:rFonts w:hint="eastAsia"/>
        </w:rPr>
        <w:t>”</w:t>
      </w:r>
      <w:r>
        <w:t>发展和品牌化经营，鼓励引导个体工商户转型为企业。构建亲清政商关系，建立规范化、常态化政商沟通机制，弘扬企业家精神，壮大现代企业家队伍。</w:t>
      </w:r>
    </w:p>
    <w:p>
      <w:pPr>
        <w:overflowPunct w:val="0"/>
        <w:spacing w:line="600" w:lineRule="exact"/>
        <w:ind w:firstLine="640"/>
      </w:pPr>
    </w:p>
    <w:p>
      <w:pPr>
        <w:pStyle w:val="5"/>
        <w:overflowPunct w:val="0"/>
        <w:spacing w:line="600" w:lineRule="exact"/>
      </w:pPr>
      <w:bookmarkStart w:id="162" w:name="_Toc9680"/>
      <w:bookmarkStart w:id="163" w:name="_Toc19477"/>
      <w:bookmarkStart w:id="164" w:name="_Toc31117"/>
      <w:bookmarkStart w:id="165" w:name="_Toc7039"/>
      <w:r>
        <w:rPr>
          <w:rFonts w:hint="eastAsia"/>
        </w:rPr>
        <w:t>第二节</w:t>
      </w:r>
      <w:r>
        <w:t xml:space="preserve">  </w:t>
      </w:r>
      <w:r>
        <w:rPr>
          <w:rFonts w:hint="eastAsia"/>
        </w:rPr>
        <w:t>推进要素市场化配置改革</w:t>
      </w:r>
      <w:bookmarkEnd w:id="162"/>
      <w:bookmarkEnd w:id="163"/>
      <w:bookmarkEnd w:id="164"/>
      <w:bookmarkEnd w:id="165"/>
    </w:p>
    <w:p>
      <w:pPr>
        <w:overflowPunct w:val="0"/>
        <w:spacing w:line="600" w:lineRule="exact"/>
        <w:ind w:firstLine="643"/>
      </w:pPr>
      <w:r>
        <w:rPr>
          <w:b/>
          <w:bCs/>
        </w:rPr>
        <w:t>建立健全统一开放的要素市场。</w:t>
      </w:r>
      <w:r>
        <w:t>推进城乡统一的建设用地市场建设。探索都市圈或城市群户籍准入年限同城化累计互认，大力发展人力资源服务业，推进人才评价体系与国际接轨，完善企业薪酬调查和信息发布体系，引导劳动力要素有序流动。构建与实体经济结构和融资需求相适应金融服务供给体系，大幅增加实体经济中长期贷款供给，提升债券融资、创业投资、股权融资等直接融资比例，拓展贷款抵押质押物范围，大力发展供应链融资。完善信贷风险政府担保补偿机制，加大</w:t>
      </w:r>
      <w:r>
        <w:rPr>
          <w:rFonts w:hint="eastAsia"/>
        </w:rPr>
        <w:t>“</w:t>
      </w:r>
      <w:r>
        <w:t>信易贷</w:t>
      </w:r>
      <w:r>
        <w:rPr>
          <w:rFonts w:hint="eastAsia"/>
        </w:rPr>
        <w:t>”“</w:t>
      </w:r>
      <w:r>
        <w:t>中小融</w:t>
      </w:r>
      <w:r>
        <w:rPr>
          <w:rFonts w:hint="eastAsia"/>
        </w:rPr>
        <w:t>”</w:t>
      </w:r>
      <w:r>
        <w:t>等以信用信息为核心内容的中小微企业融资模式推广力度。发展技术和数据要素市场，培育发展技术转移、交易服务机构。加强数据有序共享，积极推动数据与技术、产业发展融合。</w:t>
      </w:r>
    </w:p>
    <w:p>
      <w:pPr>
        <w:overflowPunct w:val="0"/>
        <w:spacing w:line="600" w:lineRule="exact"/>
        <w:ind w:firstLine="643"/>
      </w:pPr>
      <w:r>
        <w:rPr>
          <w:b/>
          <w:bCs/>
        </w:rPr>
        <w:t>促进土地资源高效配置。</w:t>
      </w:r>
      <w:r>
        <w:t>按</w:t>
      </w:r>
      <w:r>
        <w:rPr>
          <w:rFonts w:hint="eastAsia"/>
        </w:rPr>
        <w:t>“</w:t>
      </w:r>
      <w:r>
        <w:t>增量变革、存量优化</w:t>
      </w:r>
      <w:r>
        <w:rPr>
          <w:rFonts w:hint="eastAsia"/>
        </w:rPr>
        <w:t>”</w:t>
      </w:r>
      <w:r>
        <w:t>思路，统筹市域用地资源配置。新增建设用地优先投放城市发展优势区和地均产出较高的区域，集中力量保障工业用地，新增用地指标60%以上用于工业项目建设，支持</w:t>
      </w:r>
      <w:r>
        <w:rPr>
          <w:rFonts w:hint="eastAsia"/>
        </w:rPr>
        <w:t>“</w:t>
      </w:r>
      <w:r>
        <w:t>工改工</w:t>
      </w:r>
      <w:r>
        <w:rPr>
          <w:rFonts w:hint="eastAsia"/>
        </w:rPr>
        <w:t>”</w:t>
      </w:r>
      <w:r>
        <w:t>，严控</w:t>
      </w:r>
      <w:r>
        <w:rPr>
          <w:rFonts w:hint="eastAsia"/>
        </w:rPr>
        <w:t>“</w:t>
      </w:r>
      <w:r>
        <w:t>工改居</w:t>
      </w:r>
      <w:r>
        <w:rPr>
          <w:rFonts w:hint="eastAsia"/>
        </w:rPr>
        <w:t>”</w:t>
      </w:r>
      <w:r>
        <w:t>。优化工业用地长期租赁、先租后让、租让结合、弹性年期出让等配套政策，推广实施工业用地</w:t>
      </w:r>
      <w:r>
        <w:rPr>
          <w:rFonts w:hint="eastAsia"/>
        </w:rPr>
        <w:t>“</w:t>
      </w:r>
      <w:r>
        <w:t>标准地</w:t>
      </w:r>
      <w:r>
        <w:rPr>
          <w:rFonts w:hint="eastAsia"/>
        </w:rPr>
        <w:t>”</w:t>
      </w:r>
      <w:r>
        <w:t>出让制度，完善休闲旅游、现代种养等乡村产业的</w:t>
      </w:r>
      <w:r>
        <w:rPr>
          <w:rFonts w:hint="eastAsia"/>
        </w:rPr>
        <w:t>“</w:t>
      </w:r>
      <w:r>
        <w:t>点状供地</w:t>
      </w:r>
      <w:r>
        <w:rPr>
          <w:rFonts w:hint="eastAsia"/>
        </w:rPr>
        <w:t>”</w:t>
      </w:r>
      <w:r>
        <w:t>模式。在符合国土空间规划和用途管制要求前提下，推动不同产业用地类型合理转换，探索增加二三产业混合用地供给。建立产业用地全生命周期管理机制，优化土地市场动态监测监管制度。研究出台闲置土地处置实施细则、用地绩效评价考核办法，全力盘活存量土地，坚决遏制新增闲置土地，坚决收回闲置用地，力争到2022年基本消除存量闲置土地。</w:t>
      </w:r>
    </w:p>
    <w:p>
      <w:pPr>
        <w:overflowPunct w:val="0"/>
        <w:spacing w:line="600" w:lineRule="exact"/>
        <w:ind w:firstLine="643"/>
      </w:pPr>
      <w:r>
        <w:rPr>
          <w:b/>
          <w:bCs/>
        </w:rPr>
        <w:t>加快建立现代财政体制。</w:t>
      </w:r>
      <w:r>
        <w:t>坚持以</w:t>
      </w:r>
      <w:r>
        <w:rPr>
          <w:rFonts w:hint="eastAsia"/>
        </w:rPr>
        <w:t>“</w:t>
      </w:r>
      <w:r>
        <w:t>政</w:t>
      </w:r>
      <w:r>
        <w:rPr>
          <w:rFonts w:hint="eastAsia"/>
        </w:rPr>
        <w:t>”</w:t>
      </w:r>
      <w:r>
        <w:t>领</w:t>
      </w:r>
      <w:r>
        <w:rPr>
          <w:rFonts w:hint="eastAsia"/>
        </w:rPr>
        <w:t>“</w:t>
      </w:r>
      <w:r>
        <w:t>财</w:t>
      </w:r>
      <w:r>
        <w:rPr>
          <w:rFonts w:hint="eastAsia"/>
        </w:rPr>
        <w:t>”</w:t>
      </w:r>
      <w:r>
        <w:t>的工作方向，推动财政高质量发展。推进</w:t>
      </w:r>
      <w:r>
        <w:rPr>
          <w:rFonts w:hint="eastAsia"/>
        </w:rPr>
        <w:t>“</w:t>
      </w:r>
      <w:r>
        <w:t>数字财政</w:t>
      </w:r>
      <w:r>
        <w:rPr>
          <w:rFonts w:hint="eastAsia"/>
        </w:rPr>
        <w:t>”</w:t>
      </w:r>
      <w:r>
        <w:t>建设。深化预算管理制度改革，推进财政支出标准化，从严控制一般性支出，强化预算约束。全面实施预算绩效管理，扎实推进绩效评价三年滚动管理。加强财政三年滚动计划管理，增强重大战略任务和重点工作的财力保障。加强财政资源统筹，平衡、优化一般公共预算、政府性基金预算和国有资本经营预算收入结构，不断提升财政收入质量。深入推进市对区和乡镇街道财政管理体制改革，综合考虑县</w:t>
      </w:r>
      <w:r>
        <w:rPr>
          <w:rFonts w:hint="eastAsia"/>
        </w:rPr>
        <w:t>（</w:t>
      </w:r>
      <w:r>
        <w:t>区</w:t>
      </w:r>
      <w:r>
        <w:rPr>
          <w:rFonts w:hint="eastAsia"/>
        </w:rPr>
        <w:t>）</w:t>
      </w:r>
      <w:r>
        <w:t>、乡镇</w:t>
      </w:r>
      <w:r>
        <w:rPr>
          <w:rFonts w:hint="eastAsia"/>
        </w:rPr>
        <w:t>（</w:t>
      </w:r>
      <w:r>
        <w:t>街道</w:t>
      </w:r>
      <w:r>
        <w:rPr>
          <w:rFonts w:hint="eastAsia"/>
        </w:rPr>
        <w:t>）</w:t>
      </w:r>
      <w:r>
        <w:t>经济社会发展状况和区域特点，分类施策，实行差异化的财政管理体制，建立以奖代补等财税激励机制，增强基层公共服务保障能力。加强政府债务管理和风险防控，构建管理规范、责任清晰、公开透明、风险可控的政府债务管理机制。加强综合治税管理，统筹推动在惠企业税收回归。</w:t>
      </w:r>
    </w:p>
    <w:p>
      <w:pPr>
        <w:overflowPunct w:val="0"/>
        <w:spacing w:line="600" w:lineRule="exact"/>
        <w:ind w:firstLine="643"/>
        <w:rPr>
          <w:spacing w:val="4"/>
        </w:rPr>
      </w:pPr>
      <w:r>
        <w:rPr>
          <w:b/>
          <w:bCs/>
        </w:rPr>
        <w:t>健全要素价格市场化改革和运行机制。</w:t>
      </w:r>
      <w:r>
        <w:t>强化竞争政策基础地</w:t>
      </w:r>
      <w:r>
        <w:rPr>
          <w:spacing w:val="4"/>
        </w:rPr>
        <w:t>位，</w:t>
      </w:r>
      <w:r>
        <w:rPr>
          <w:rFonts w:hint="eastAsia"/>
          <w:spacing w:val="4"/>
        </w:rPr>
        <w:t>加快要素价格市场化改革，健全要素市场运行机制</w:t>
      </w:r>
      <w:r>
        <w:rPr>
          <w:spacing w:val="4"/>
        </w:rPr>
        <w:t>，引导市场主体依法合理行使要素定价自主权。完善要素市场交易和监管机制，拓展公共资源交易平台功能，健全要素全流程电子化交易和交易信息披露制度。鼓励要素交易平台与各类金融机构、中介机构合作，形成涵盖产权界定、价格评估、流转交易、担保、保险等业务的综合服务体系。推进水、电、气、流通等重点领域改革，积极推进农业水价综合改革，推行非居民用水超定额超计划累进加价制度；推进电力市场化交易和燃气终端销售价格改革，引导非居民用户与供应方通过协商等方式确定价格。</w:t>
      </w:r>
    </w:p>
    <w:p>
      <w:pPr>
        <w:pStyle w:val="5"/>
        <w:overflowPunct w:val="0"/>
        <w:spacing w:line="600" w:lineRule="exact"/>
      </w:pPr>
      <w:bookmarkStart w:id="166" w:name="_Toc29834"/>
      <w:bookmarkStart w:id="167" w:name="_Toc951"/>
      <w:bookmarkStart w:id="168" w:name="_Toc6572"/>
      <w:bookmarkStart w:id="169" w:name="_Toc16846"/>
      <w:r>
        <w:t>第</w:t>
      </w:r>
      <w:r>
        <w:rPr>
          <w:rFonts w:hint="eastAsia"/>
        </w:rPr>
        <w:t>三</w:t>
      </w:r>
      <w:r>
        <w:t xml:space="preserve">节 </w:t>
      </w:r>
      <w:r>
        <w:rPr>
          <w:rFonts w:hint="eastAsia"/>
        </w:rPr>
        <w:t xml:space="preserve"> 深化营商环境综合改革</w:t>
      </w:r>
      <w:bookmarkEnd w:id="166"/>
      <w:bookmarkEnd w:id="167"/>
      <w:bookmarkEnd w:id="168"/>
      <w:bookmarkEnd w:id="169"/>
    </w:p>
    <w:p>
      <w:pPr>
        <w:overflowPunct w:val="0"/>
        <w:spacing w:line="600" w:lineRule="exact"/>
        <w:ind w:firstLine="643"/>
        <w:rPr>
          <w:szCs w:val="32"/>
          <w:shd w:val="clear" w:color="auto" w:fill="FFFFFF"/>
        </w:rPr>
      </w:pPr>
      <w:r>
        <w:rPr>
          <w:b/>
          <w:bCs/>
        </w:rPr>
        <w:t>持续优化政府职能。</w:t>
      </w:r>
      <w:r>
        <w:t>持续巩固深化机构改革成果，推动应放尽放和可承可接相结合，全面实行政府权责清单制度，持续推进简政放权，</w:t>
      </w:r>
      <w:r>
        <w:rPr>
          <w:rFonts w:hint="eastAsia"/>
        </w:rPr>
        <w:t>推行</w:t>
      </w:r>
      <w:r>
        <w:t>行政审批标准化，落实政务服务</w:t>
      </w:r>
      <w:r>
        <w:rPr>
          <w:rFonts w:hint="eastAsia"/>
        </w:rPr>
        <w:t>“</w:t>
      </w:r>
      <w:r>
        <w:t>好差评</w:t>
      </w:r>
      <w:r>
        <w:rPr>
          <w:rFonts w:hint="eastAsia"/>
        </w:rPr>
        <w:t>”</w:t>
      </w:r>
      <w:r>
        <w:t>制度</w:t>
      </w:r>
      <w:r>
        <w:rPr>
          <w:szCs w:val="32"/>
          <w:shd w:val="clear" w:color="auto" w:fill="FFFFFF"/>
        </w:rPr>
        <w:t>。大力推动政府职能转变，进一步</w:t>
      </w:r>
      <w:r>
        <w:rPr>
          <w:rFonts w:hint="eastAsia"/>
          <w:szCs w:val="32"/>
          <w:shd w:val="clear" w:color="auto" w:fill="FFFFFF"/>
        </w:rPr>
        <w:t>厘</w:t>
      </w:r>
      <w:r>
        <w:rPr>
          <w:szCs w:val="32"/>
          <w:shd w:val="clear" w:color="auto" w:fill="FFFFFF"/>
        </w:rPr>
        <w:t>清政府和市场、政府和社会关系，大幅降低制度性交易成本。加强和完善政府经济调节、市场监管、社会管理、公共服务等职能，优化完善应急管理、生态环境保护、自然资源管理等重点领域体制机制。健全部门协调联动机制，统筹市县（区）一体化运作，强化镇街直接服务职能，持续深化基层综合行政执法改革。优化开发区和各类园区管理体制和机构设置，推动形成高效率的组织体系。持续开展解决企业困难</w:t>
      </w:r>
      <w:r>
        <w:rPr>
          <w:rFonts w:hint="eastAsia"/>
          <w:szCs w:val="32"/>
          <w:shd w:val="clear" w:color="auto" w:fill="FFFFFF"/>
        </w:rPr>
        <w:t>“</w:t>
      </w:r>
      <w:r>
        <w:rPr>
          <w:szCs w:val="32"/>
          <w:shd w:val="clear" w:color="auto" w:fill="FFFFFF"/>
        </w:rPr>
        <w:t>直通车</w:t>
      </w:r>
      <w:r>
        <w:rPr>
          <w:rFonts w:hint="eastAsia"/>
          <w:szCs w:val="32"/>
          <w:shd w:val="clear" w:color="auto" w:fill="FFFFFF"/>
        </w:rPr>
        <w:t>”</w:t>
      </w:r>
      <w:r>
        <w:rPr>
          <w:szCs w:val="32"/>
          <w:shd w:val="clear" w:color="auto" w:fill="FFFFFF"/>
        </w:rPr>
        <w:t>活动，打造政府高效服务企业的平台。</w:t>
      </w:r>
    </w:p>
    <w:p>
      <w:pPr>
        <w:overflowPunct w:val="0"/>
        <w:spacing w:line="600" w:lineRule="exact"/>
        <w:ind w:firstLine="643"/>
      </w:pPr>
      <w:r>
        <w:rPr>
          <w:b/>
          <w:bCs/>
        </w:rPr>
        <w:t>深入推进</w:t>
      </w:r>
      <w:r>
        <w:rPr>
          <w:rFonts w:hint="eastAsia"/>
          <w:b/>
          <w:bCs/>
        </w:rPr>
        <w:t>“</w:t>
      </w:r>
      <w:r>
        <w:rPr>
          <w:b/>
          <w:bCs/>
        </w:rPr>
        <w:t>放管服</w:t>
      </w:r>
      <w:r>
        <w:rPr>
          <w:rFonts w:hint="eastAsia"/>
          <w:b/>
          <w:bCs/>
        </w:rPr>
        <w:t>”</w:t>
      </w:r>
      <w:r>
        <w:rPr>
          <w:b/>
          <w:bCs/>
        </w:rPr>
        <w:t>改革。</w:t>
      </w:r>
      <w:r>
        <w:t>以一流营商环境建设为引领，深入推进</w:t>
      </w:r>
      <w:r>
        <w:rPr>
          <w:rFonts w:hint="eastAsia"/>
        </w:rPr>
        <w:t>“</w:t>
      </w:r>
      <w:r>
        <w:t>放管服</w:t>
      </w:r>
      <w:r>
        <w:rPr>
          <w:rFonts w:hint="eastAsia"/>
        </w:rPr>
        <w:t>”</w:t>
      </w:r>
      <w:r>
        <w:t>改革</w:t>
      </w:r>
      <w:r>
        <w:rPr>
          <w:rFonts w:hint="eastAsia"/>
        </w:rPr>
        <w:t>，</w:t>
      </w:r>
      <w:r>
        <w:t>持续优化政府服务。大力推进</w:t>
      </w:r>
      <w:r>
        <w:rPr>
          <w:rFonts w:hint="eastAsia"/>
        </w:rPr>
        <w:t>“</w:t>
      </w:r>
      <w:r>
        <w:t>互联网+政务服务</w:t>
      </w:r>
      <w:r>
        <w:rPr>
          <w:rFonts w:hint="eastAsia"/>
        </w:rPr>
        <w:t>”</w:t>
      </w:r>
      <w:r>
        <w:t>标准化服务体系建设，提高优质政务服务供给。深化商事登记制度改革，推动企业开办业务普及</w:t>
      </w:r>
      <w:r>
        <w:rPr>
          <w:rFonts w:hint="eastAsia"/>
        </w:rPr>
        <w:t>“</w:t>
      </w:r>
      <w:r>
        <w:t>一网通办、一窗通办、异地通办、一窗通取</w:t>
      </w:r>
      <w:r>
        <w:rPr>
          <w:rFonts w:hint="eastAsia"/>
        </w:rPr>
        <w:t>”</w:t>
      </w:r>
      <w:r>
        <w:t>业务模式，推广</w:t>
      </w:r>
      <w:r>
        <w:rPr>
          <w:rFonts w:hint="eastAsia"/>
        </w:rPr>
        <w:t>“</w:t>
      </w:r>
      <w:r>
        <w:t>照后减证</w:t>
      </w:r>
      <w:r>
        <w:rPr>
          <w:rFonts w:hint="eastAsia"/>
        </w:rPr>
        <w:t>”</w:t>
      </w:r>
      <w:r>
        <w:t>、证明事项和涉企经营许可事项告知承诺制。深入推进投资审批制度改革，推</w:t>
      </w:r>
      <w:r>
        <w:rPr>
          <w:rFonts w:hint="eastAsia"/>
        </w:rPr>
        <w:t>行</w:t>
      </w:r>
      <w:r>
        <w:t>投资项目承诺制</w:t>
      </w:r>
      <w:r>
        <w:rPr>
          <w:rFonts w:hint="eastAsia"/>
        </w:rPr>
        <w:t>，实施</w:t>
      </w:r>
      <w:r>
        <w:t>工业项目用地清单、</w:t>
      </w:r>
      <w:r>
        <w:rPr>
          <w:rFonts w:hint="eastAsia"/>
        </w:rPr>
        <w:t>“</w:t>
      </w:r>
      <w:r>
        <w:t>标准地</w:t>
      </w:r>
      <w:r>
        <w:rPr>
          <w:rFonts w:hint="eastAsia"/>
        </w:rPr>
        <w:t>”</w:t>
      </w:r>
      <w:r>
        <w:t>出让、联合测绘、审图验收等改革举措，建立</w:t>
      </w:r>
      <w:r>
        <w:rPr>
          <w:rFonts w:hint="eastAsia"/>
        </w:rPr>
        <w:t>健全</w:t>
      </w:r>
      <w:r>
        <w:t>工程项目前期辅导帮办</w:t>
      </w:r>
      <w:r>
        <w:rPr>
          <w:rFonts w:hint="eastAsia"/>
        </w:rPr>
        <w:t>、</w:t>
      </w:r>
      <w:r>
        <w:t>风险等级分类管理制度，</w:t>
      </w:r>
      <w:r>
        <w:rPr>
          <w:rFonts w:hint="eastAsia"/>
        </w:rPr>
        <w:t>到</w:t>
      </w:r>
      <w:r>
        <w:t>2025年企业建设工程项目审批效率提升30%以上。落实《优化营商环境条例》，完善营商环境评价体系，开展常态化营商环境评价，打造市场化法治化国际化营商环境。</w:t>
      </w:r>
    </w:p>
    <w:p>
      <w:pPr>
        <w:overflowPunct w:val="0"/>
        <w:spacing w:line="600" w:lineRule="exact"/>
        <w:ind w:firstLine="643"/>
      </w:pPr>
      <w:r>
        <w:rPr>
          <w:b/>
          <w:bCs/>
        </w:rPr>
        <w:t>提升金融服务实体经济水平。</w:t>
      </w:r>
      <w:r>
        <w:t>完善金融支持实体经济机制，深入推进</w:t>
      </w:r>
      <w:r>
        <w:rPr>
          <w:rFonts w:hint="eastAsia"/>
        </w:rPr>
        <w:t>“</w:t>
      </w:r>
      <w:r>
        <w:t>金融+基础设施</w:t>
      </w:r>
      <w:r>
        <w:rPr>
          <w:rFonts w:hint="eastAsia"/>
        </w:rPr>
        <w:t>”“</w:t>
      </w:r>
      <w:r>
        <w:t>金融+科技</w:t>
      </w:r>
      <w:r>
        <w:rPr>
          <w:rFonts w:hint="eastAsia"/>
        </w:rPr>
        <w:t>”“</w:t>
      </w:r>
      <w:r>
        <w:t>金融+先进制造</w:t>
      </w:r>
      <w:r>
        <w:rPr>
          <w:rFonts w:hint="eastAsia"/>
        </w:rPr>
        <w:t>”“</w:t>
      </w:r>
      <w:r>
        <w:t>金融+贸易</w:t>
      </w:r>
      <w:r>
        <w:rPr>
          <w:rFonts w:hint="eastAsia"/>
        </w:rPr>
        <w:t>”“</w:t>
      </w:r>
      <w:r>
        <w:t>金融+乡村振兴</w:t>
      </w:r>
      <w:r>
        <w:rPr>
          <w:rFonts w:hint="eastAsia"/>
        </w:rPr>
        <w:t>”</w:t>
      </w:r>
      <w:r>
        <w:t>等工程，大力扩大绿色信贷规模，构建业态丰富、结构合理、服务高效、运行稳健的现代金融服务体系。深化与证券交易所全面战略合作协议，推动设立上交所、深交所惠州服务基地，建立上市公司培育体系，大力鼓励支持惠州科创企业上市，丰富完善广东股权交易中心惠州分公司特色板块功能。鼓励和支持企业利用多层次资本市场融资发展，拓宽企业直接融资渠道。支持大型企业集团设立财务公司，开展延伸产业链金融服务试点。推广中小企业融资平台和信用信息平台，开展供应链金融创新。运用数字化技术解决信息不对称。加快制造业融资租赁业务发展。推广现代金融科技应用，加强金融信用体系建设，开展投贷联动，创新信贷产品，增强金融普惠性。积极引导保险资金支持惠州发展。深化政府投资基金运作市场改革。持续开展中小企业融资中的不合理附加费用清理整治工作。</w:t>
      </w:r>
    </w:p>
    <w:p>
      <w:pPr>
        <w:overflowPunct w:val="0"/>
        <w:spacing w:line="600" w:lineRule="exact"/>
        <w:ind w:firstLine="643"/>
      </w:pPr>
      <w:r>
        <w:rPr>
          <w:b/>
          <w:bCs/>
        </w:rPr>
        <w:t>建立以信用为基础的新型市场监管机制。</w:t>
      </w:r>
      <w:r>
        <w:t>巩固提升惠州市国家社会信用体系建设示范城市创建成果，进一步完善社会信用体系建设</w:t>
      </w:r>
      <w:r>
        <w:rPr>
          <w:rFonts w:hint="eastAsia"/>
        </w:rPr>
        <w:t>体制机制</w:t>
      </w:r>
      <w:r>
        <w:t>，优化信用中国（广东惠州）网站、升级改造市公共信用信息管理系统，提升信用数据质量、加强信用信息深度开发利用。开展信用建设服务实体经济发展改革省试点，创新探索更多的</w:t>
      </w:r>
      <w:r>
        <w:rPr>
          <w:rFonts w:hint="eastAsia"/>
        </w:rPr>
        <w:t>“</w:t>
      </w:r>
      <w:r>
        <w:t>信易+</w:t>
      </w:r>
      <w:r>
        <w:rPr>
          <w:rFonts w:hint="eastAsia"/>
        </w:rPr>
        <w:t>”</w:t>
      </w:r>
      <w:r>
        <w:t>应用场景、培育发展信用服务业、推动信用经济集聚发展。建立以信用为基础的新型市场监管机制，全面推行信用承诺制度和</w:t>
      </w:r>
      <w:r>
        <w:rPr>
          <w:rFonts w:hint="eastAsia"/>
        </w:rPr>
        <w:t>“</w:t>
      </w:r>
      <w:r>
        <w:t>双随机、一公开</w:t>
      </w:r>
      <w:r>
        <w:rPr>
          <w:rFonts w:hint="eastAsia"/>
        </w:rPr>
        <w:t>”</w:t>
      </w:r>
      <w:r>
        <w:rPr>
          <w:rStyle w:val="21"/>
        </w:rPr>
        <w:footnoteReference w:id="9"/>
      </w:r>
      <w:r>
        <w:t>市场监管、完善信用分级分类监管和信用奖惩制度。完善政府守信践诺制度，建立诚信缺失突出问题治理长效机制，加强信用主体权益保护。</w:t>
      </w:r>
    </w:p>
    <w:p>
      <w:pPr>
        <w:overflowPunct w:val="0"/>
        <w:spacing w:line="600" w:lineRule="exact"/>
        <w:ind w:firstLine="640"/>
      </w:pPr>
      <w:r>
        <w:br w:type="page"/>
      </w:r>
    </w:p>
    <w:p>
      <w:pPr>
        <w:pStyle w:val="4"/>
        <w:overflowPunct w:val="0"/>
        <w:rPr>
          <w:rFonts w:ascii="方正小标宋_GBK" w:eastAsia="方正小标宋_GBK"/>
          <w:sz w:val="36"/>
          <w:szCs w:val="36"/>
        </w:rPr>
      </w:pPr>
      <w:bookmarkStart w:id="170" w:name="_Toc16291"/>
      <w:bookmarkStart w:id="171" w:name="_Toc31071"/>
      <w:bookmarkStart w:id="172" w:name="_Toc32217"/>
      <w:bookmarkStart w:id="173" w:name="_Toc8174"/>
      <w:r>
        <w:rPr>
          <w:rFonts w:hint="eastAsia" w:ascii="方正小标宋_GBK" w:eastAsia="方正小标宋_GBK"/>
          <w:sz w:val="36"/>
          <w:szCs w:val="36"/>
        </w:rPr>
        <w:t>第九章  强化“双区”引领 深度融入“一核一带一区”区域发展格局</w:t>
      </w:r>
      <w:bookmarkEnd w:id="170"/>
      <w:bookmarkEnd w:id="171"/>
      <w:bookmarkEnd w:id="172"/>
      <w:bookmarkEnd w:id="173"/>
    </w:p>
    <w:p>
      <w:pPr>
        <w:overflowPunct w:val="0"/>
        <w:spacing w:line="600" w:lineRule="exact"/>
        <w:ind w:firstLine="640"/>
      </w:pPr>
    </w:p>
    <w:p>
      <w:pPr>
        <w:overflowPunct w:val="0"/>
        <w:spacing w:line="600" w:lineRule="exact"/>
        <w:ind w:firstLine="640"/>
      </w:pPr>
      <w:r>
        <w:rPr>
          <w:rFonts w:hint="eastAsia"/>
        </w:rPr>
        <w:t>充分发挥大湾区重要节点城市功能，</w:t>
      </w:r>
      <w:r>
        <w:t>抢抓</w:t>
      </w:r>
      <w:r>
        <w:rPr>
          <w:rFonts w:hint="eastAsia"/>
        </w:rPr>
        <w:t>“双区”建设重大</w:t>
      </w:r>
      <w:r>
        <w:t>机遇，</w:t>
      </w:r>
      <w:r>
        <w:rPr>
          <w:rFonts w:hint="eastAsia"/>
        </w:rPr>
        <w:t>主动对接大湾区中心城市，全面加强城市间协同合作，深度融入深圳都市圈发展，</w:t>
      </w:r>
      <w:r>
        <w:t>实施区域协调发展战略和新型城镇化战略，优化国土空间布局，提升城市发展能级，</w:t>
      </w:r>
      <w:r>
        <w:rPr>
          <w:rFonts w:hint="eastAsia"/>
        </w:rPr>
        <w:t>促进县域经济</w:t>
      </w:r>
      <w:r>
        <w:t>发展，形成主体功能明显、优势互补、高质量发展的区域</w:t>
      </w:r>
      <w:r>
        <w:rPr>
          <w:rFonts w:hint="eastAsia"/>
        </w:rPr>
        <w:t>发展</w:t>
      </w:r>
      <w:r>
        <w:t>布局</w:t>
      </w:r>
      <w:r>
        <w:rPr>
          <w:rFonts w:hint="eastAsia"/>
        </w:rPr>
        <w:t>。</w:t>
      </w:r>
    </w:p>
    <w:p>
      <w:pPr>
        <w:overflowPunct w:val="0"/>
        <w:spacing w:line="600" w:lineRule="exact"/>
        <w:ind w:firstLine="640"/>
      </w:pPr>
    </w:p>
    <w:p>
      <w:pPr>
        <w:pStyle w:val="5"/>
        <w:overflowPunct w:val="0"/>
        <w:spacing w:line="600" w:lineRule="exact"/>
      </w:pPr>
      <w:bookmarkStart w:id="174" w:name="_Toc24416"/>
      <w:bookmarkStart w:id="175" w:name="_Toc3577"/>
      <w:bookmarkStart w:id="176" w:name="_Toc30252"/>
      <w:bookmarkStart w:id="177" w:name="_Toc22625"/>
      <w:r>
        <w:t xml:space="preserve">第一节  </w:t>
      </w:r>
      <w:r>
        <w:rPr>
          <w:rFonts w:hint="eastAsia"/>
        </w:rPr>
        <w:t>构建国土空间开发保护新格局</w:t>
      </w:r>
      <w:bookmarkEnd w:id="174"/>
      <w:bookmarkEnd w:id="175"/>
      <w:bookmarkEnd w:id="176"/>
      <w:bookmarkEnd w:id="177"/>
    </w:p>
    <w:p>
      <w:pPr>
        <w:overflowPunct w:val="0"/>
        <w:spacing w:line="600" w:lineRule="exact"/>
        <w:ind w:firstLine="643" w:firstLineChars="0"/>
      </w:pPr>
      <w:r>
        <w:rPr>
          <w:b/>
          <w:bCs/>
        </w:rPr>
        <w:t>构建</w:t>
      </w:r>
      <w:r>
        <w:rPr>
          <w:rFonts w:hint="eastAsia"/>
          <w:b/>
          <w:bCs/>
        </w:rPr>
        <w:t>“</w:t>
      </w:r>
      <w:r>
        <w:rPr>
          <w:b/>
          <w:bCs/>
        </w:rPr>
        <w:t>1+1+1</w:t>
      </w:r>
      <w:r>
        <w:rPr>
          <w:rFonts w:hint="eastAsia"/>
          <w:b/>
          <w:bCs/>
        </w:rPr>
        <w:t>”</w:t>
      </w:r>
      <w:r>
        <w:rPr>
          <w:b/>
          <w:bCs/>
        </w:rPr>
        <w:t>国土</w:t>
      </w:r>
      <w:r>
        <w:rPr>
          <w:rFonts w:hint="eastAsia"/>
          <w:b/>
          <w:bCs/>
        </w:rPr>
        <w:t>空间开发保护格</w:t>
      </w:r>
      <w:r>
        <w:rPr>
          <w:b/>
          <w:bCs/>
        </w:rPr>
        <w:t>局。</w:t>
      </w:r>
      <w:r>
        <w:t>以罗浮山、象头山、莲花山等自然山体</w:t>
      </w:r>
      <w:r>
        <w:rPr>
          <w:rFonts w:hint="eastAsia"/>
        </w:rPr>
        <w:t>和海岸带</w:t>
      </w:r>
      <w:r>
        <w:t>为分界线，划分生态功能区、城市发展区和海洋发展区，构建</w:t>
      </w:r>
      <w:r>
        <w:rPr>
          <w:rFonts w:hint="eastAsia"/>
        </w:rPr>
        <w:t>“</w:t>
      </w:r>
      <w:r>
        <w:t>1+1+1</w:t>
      </w:r>
      <w:r>
        <w:rPr>
          <w:rFonts w:hint="eastAsia"/>
        </w:rPr>
        <w:t>”</w:t>
      </w:r>
      <w:r>
        <w:t>国土空间开发保护格局</w:t>
      </w:r>
      <w:r>
        <w:rPr>
          <w:rFonts w:hint="eastAsia"/>
        </w:rPr>
        <w:t>，实施差异化发展。</w:t>
      </w:r>
      <w:r>
        <w:t>生态功能区</w:t>
      </w:r>
      <w:r>
        <w:rPr>
          <w:rFonts w:hint="eastAsia"/>
        </w:rPr>
        <w:t>打造一个“绿色花园”</w:t>
      </w:r>
      <w:r>
        <w:t>，</w:t>
      </w:r>
      <w:r>
        <w:rPr>
          <w:rFonts w:hint="eastAsia"/>
        </w:rPr>
        <w:t>突出生态优先、绿色发展，加强罗浮山、南昆山、莲花山等生态屏障的协同优先保护</w:t>
      </w:r>
      <w:r>
        <w:t>，探索生态价值实现新路径，深化绿水青山就是金山银山新实践。</w:t>
      </w:r>
      <w:r>
        <w:rPr>
          <w:rFonts w:hint="eastAsia"/>
        </w:rPr>
        <w:t>城市发展区建设一座“活力城市”，突出创新引领、集聚集约，高强度集中连片开发优势地区，高密度集聚经济和人口，加快构建创新引领的现代经济体系。海洋发展区形成一片“美丽海湾”，坚持陆海统筹、立体开发，</w:t>
      </w:r>
      <w:r>
        <w:t>抓好陆海生态空间大保护，协调陆海</w:t>
      </w:r>
      <w:r>
        <w:rPr>
          <w:spacing w:val="4"/>
        </w:rPr>
        <w:t>开发大格局，以世界级港口群和临港产业集群支持沿海经济带建</w:t>
      </w:r>
      <w:r>
        <w:t>设。</w:t>
      </w:r>
    </w:p>
    <w:p>
      <w:pPr>
        <w:overflowPunct w:val="0"/>
        <w:spacing w:line="240" w:lineRule="auto"/>
        <w:ind w:firstLine="0" w:firstLineChars="0"/>
        <w:jc w:val="center"/>
      </w:pPr>
      <w:r>
        <w:rPr>
          <w:rFonts w:hint="eastAsia" w:ascii="仿宋_GB2312"/>
          <w:szCs w:val="32"/>
        </w:rPr>
        <w:drawing>
          <wp:inline distT="0" distB="0" distL="114300" distR="114300">
            <wp:extent cx="5668010" cy="6456045"/>
            <wp:effectExtent l="9525" t="9525" r="18415" b="11430"/>
            <wp:docPr id="14" name="图片 14" descr="1+1+1格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1格局图"/>
                    <pic:cNvPicPr>
                      <a:picLocks noChangeAspect="1"/>
                    </pic:cNvPicPr>
                  </pic:nvPicPr>
                  <pic:blipFill>
                    <a:blip r:embed="rId25"/>
                    <a:srcRect l="19069" t="11287" r="19322" b="2877"/>
                    <a:stretch>
                      <a:fillRect/>
                    </a:stretch>
                  </pic:blipFill>
                  <pic:spPr>
                    <a:xfrm>
                      <a:off x="0" y="0"/>
                      <a:ext cx="5668010" cy="6456045"/>
                    </a:xfrm>
                    <a:prstGeom prst="rect">
                      <a:avLst/>
                    </a:prstGeom>
                    <a:ln>
                      <a:solidFill>
                        <a:schemeClr val="tx1"/>
                      </a:solidFill>
                    </a:ln>
                  </pic:spPr>
                </pic:pic>
              </a:graphicData>
            </a:graphic>
          </wp:inline>
        </w:drawing>
      </w:r>
    </w:p>
    <w:p>
      <w:pPr>
        <w:pStyle w:val="26"/>
        <w:overflowPunct w:val="0"/>
        <w:spacing w:line="240" w:lineRule="auto"/>
      </w:pPr>
      <w:r>
        <w:rPr>
          <w:rFonts w:hint="eastAsia"/>
        </w:rPr>
        <w:t>图10 惠州市域“1+1+1”国土空间开发保护格局图</w:t>
      </w:r>
    </w:p>
    <w:p>
      <w:pPr>
        <w:overflowPunct w:val="0"/>
        <w:spacing w:line="600" w:lineRule="exact"/>
        <w:ind w:firstLine="640"/>
      </w:pPr>
    </w:p>
    <w:p>
      <w:pPr>
        <w:overflowPunct w:val="0"/>
        <w:spacing w:line="600" w:lineRule="exact"/>
        <w:ind w:firstLine="643"/>
      </w:pPr>
      <w:r>
        <w:rPr>
          <w:b/>
          <w:bCs/>
        </w:rPr>
        <w:t>优化</w:t>
      </w:r>
      <w:r>
        <w:rPr>
          <w:rFonts w:hint="eastAsia"/>
          <w:b/>
          <w:bCs/>
        </w:rPr>
        <w:t>“</w:t>
      </w:r>
      <w:r>
        <w:rPr>
          <w:b/>
          <w:bCs/>
        </w:rPr>
        <w:t>三区</w:t>
      </w:r>
      <w:r>
        <w:rPr>
          <w:rFonts w:hint="eastAsia"/>
          <w:b/>
          <w:bCs/>
        </w:rPr>
        <w:t>”“</w:t>
      </w:r>
      <w:r>
        <w:rPr>
          <w:b/>
          <w:bCs/>
        </w:rPr>
        <w:t>三线</w:t>
      </w:r>
      <w:r>
        <w:rPr>
          <w:rFonts w:hint="eastAsia"/>
          <w:b/>
          <w:bCs/>
        </w:rPr>
        <w:t>”</w:t>
      </w:r>
      <w:r>
        <w:rPr>
          <w:b/>
          <w:bCs/>
        </w:rPr>
        <w:t>规划布局。</w:t>
      </w:r>
      <w:r>
        <w:t>以资源环境承载能力和国土空间开发适宜性评价为基础，科学统筹生态、农业、城镇功能空间布局，强化生态保护红线、永久基本农田和</w:t>
      </w:r>
      <w:r>
        <w:rPr>
          <w:rFonts w:hint="eastAsia"/>
        </w:rPr>
        <w:t>城镇开发边界“</w:t>
      </w:r>
      <w:r>
        <w:t>三条控制线</w:t>
      </w:r>
      <w:r>
        <w:rPr>
          <w:rFonts w:hint="eastAsia"/>
        </w:rPr>
        <w:t>”</w:t>
      </w:r>
      <w:r>
        <w:t>刚性约束，形成生产空间集约高效、生活空间宜居适度、生态空间山清水秀的空间发展格局。维育山清水秀的生态空间，将生态功能极重要区域、生态极敏感脆弱区域划入生态保护红线，支持</w:t>
      </w:r>
      <w:r>
        <w:rPr>
          <w:rFonts w:hint="eastAsia"/>
        </w:rPr>
        <w:t>重点生态功能区</w:t>
      </w:r>
      <w:r>
        <w:t>保护生态环境、提供生态产品、人口逐步有序转移。打造美丽集约的农业空间，支持农产品主产区增强农业生产能力。构建集聚高效的城镇空间，科学划定城镇开发边界，严格实行建设用地总量与强度双控，适当增加城镇空间布局弹性，支持</w:t>
      </w:r>
      <w:r>
        <w:rPr>
          <w:rFonts w:hint="eastAsia"/>
        </w:rPr>
        <w:t>城市化发展区</w:t>
      </w:r>
      <w:r>
        <w:t>高效集聚经济和人口、保护基本农田和生态空间。</w:t>
      </w:r>
    </w:p>
    <w:p>
      <w:pPr>
        <w:overflowPunct w:val="0"/>
        <w:spacing w:line="600" w:lineRule="exact"/>
        <w:ind w:firstLine="640"/>
      </w:pPr>
    </w:p>
    <w:p>
      <w:pPr>
        <w:pStyle w:val="5"/>
        <w:overflowPunct w:val="0"/>
        <w:spacing w:line="600" w:lineRule="exact"/>
      </w:pPr>
      <w:bookmarkStart w:id="178" w:name="_Toc22052"/>
      <w:bookmarkStart w:id="179" w:name="_Toc3630"/>
      <w:bookmarkStart w:id="180" w:name="_Toc15671"/>
      <w:bookmarkStart w:id="181" w:name="_Toc8370"/>
      <w:r>
        <w:t>第</w:t>
      </w:r>
      <w:r>
        <w:rPr>
          <w:rFonts w:hint="eastAsia"/>
        </w:rPr>
        <w:t>二</w:t>
      </w:r>
      <w:r>
        <w:t>节</w:t>
      </w:r>
      <w:r>
        <w:rPr>
          <w:rFonts w:hint="eastAsia"/>
        </w:rPr>
        <w:t xml:space="preserve">  </w:t>
      </w:r>
      <w:bookmarkStart w:id="182" w:name="_Toc14939"/>
      <w:r>
        <w:rPr>
          <w:rFonts w:hint="eastAsia"/>
        </w:rPr>
        <w:t>推动区域协调融合</w:t>
      </w:r>
      <w:bookmarkEnd w:id="178"/>
      <w:bookmarkEnd w:id="179"/>
      <w:bookmarkEnd w:id="180"/>
      <w:bookmarkEnd w:id="181"/>
      <w:bookmarkEnd w:id="182"/>
    </w:p>
    <w:p>
      <w:pPr>
        <w:overflowPunct w:val="0"/>
        <w:spacing w:line="600" w:lineRule="exact"/>
        <w:ind w:firstLine="643"/>
      </w:pPr>
      <w:r>
        <w:rPr>
          <w:b/>
          <w:bCs/>
        </w:rPr>
        <w:t>全面融入全省</w:t>
      </w:r>
      <w:r>
        <w:rPr>
          <w:rFonts w:hint="eastAsia"/>
          <w:b/>
          <w:bCs/>
        </w:rPr>
        <w:t>“</w:t>
      </w:r>
      <w:r>
        <w:rPr>
          <w:b/>
          <w:bCs/>
        </w:rPr>
        <w:t>一核一带一区</w:t>
      </w:r>
      <w:r>
        <w:rPr>
          <w:rFonts w:hint="eastAsia"/>
          <w:b/>
          <w:bCs/>
        </w:rPr>
        <w:t>”</w:t>
      </w:r>
      <w:r>
        <w:rPr>
          <w:b/>
          <w:bCs/>
        </w:rPr>
        <w:t>区域发展大局。</w:t>
      </w:r>
      <w:r>
        <w:t>着力提升基础设施均衡通达和基本公共服务均等化水平，</w:t>
      </w:r>
      <w:r>
        <w:rPr>
          <w:rFonts w:hint="eastAsia"/>
        </w:rPr>
        <w:t>加快与广州、深圳等市互联互通，</w:t>
      </w:r>
      <w:r>
        <w:t>推动协同联动发展。坚持统筹协调、分类指导和精准施策，深入实施以功能区为引领的区域协调发展战略，着力提升惠城、惠阳中心城区能级，推动大亚湾、仲恺争创国内一流开发区，发展壮大惠东、博罗县域经济，</w:t>
      </w:r>
      <w:r>
        <w:rPr>
          <w:rFonts w:hint="eastAsia"/>
        </w:rPr>
        <w:t>加快整体融入“一核”；推动惠东、惠阳、大亚湾沿海地区参与</w:t>
      </w:r>
      <w:r>
        <w:rPr>
          <w:rFonts w:hint="eastAsia"/>
          <w:spacing w:val="4"/>
        </w:rPr>
        <w:t>深圳全球海洋中心城市建设和全省沿海经济带建设，促进产业全</w:t>
      </w:r>
      <w:r>
        <w:rPr>
          <w:rFonts w:hint="eastAsia"/>
        </w:rPr>
        <w:t>面对接“一带”；</w:t>
      </w:r>
      <w:r>
        <w:t>支持龙门创建绿色发展示范区，</w:t>
      </w:r>
      <w:r>
        <w:rPr>
          <w:rFonts w:hint="eastAsia"/>
        </w:rPr>
        <w:t>助力构筑“一区”</w:t>
      </w:r>
      <w:r>
        <w:t>。</w:t>
      </w:r>
    </w:p>
    <w:p>
      <w:pPr>
        <w:overflowPunct w:val="0"/>
        <w:spacing w:line="600" w:lineRule="exact"/>
        <w:ind w:firstLine="643"/>
      </w:pPr>
      <w:r>
        <w:rPr>
          <w:b/>
          <w:bCs/>
        </w:rPr>
        <w:t>深入推进粤港澳大湾区建设。</w:t>
      </w:r>
      <w:r>
        <w:t>全面贯彻落实中央和省对粤港澳大湾区建设的决策部署，以</w:t>
      </w:r>
      <w:r>
        <w:rPr>
          <w:rFonts w:hint="eastAsia"/>
        </w:rPr>
        <w:t>“</w:t>
      </w:r>
      <w:r>
        <w:t>丰</w:t>
      </w:r>
      <w:r>
        <w:rPr>
          <w:rFonts w:hint="eastAsia"/>
        </w:rPr>
        <w:t>”</w:t>
      </w:r>
      <w:r>
        <w:t>字道路交通主框架为引领，深度融入粤港澳大湾区城市群综合交通体系。积极参与国际科技创新中心建设，深入对接广深港澳科技创新走廊，推动创新协同和产业共建。深化惠州制造业与香港现代服务业合作，促进产业转型升级，共同开拓国际市场。大力实施</w:t>
      </w:r>
      <w:r>
        <w:rPr>
          <w:rFonts w:hint="eastAsia"/>
        </w:rPr>
        <w:t>“</w:t>
      </w:r>
      <w:r>
        <w:t>湾区通</w:t>
      </w:r>
      <w:r>
        <w:rPr>
          <w:rFonts w:hint="eastAsia"/>
        </w:rPr>
        <w:t>”</w:t>
      </w:r>
      <w:r>
        <w:t>工程，全面深化与港澳教育、医疗、文旅、环保、民生等方面合作，共建优质生活圈。高标准打造金山新城、潼湖生态智慧区、稔平半岛、惠州湾产业新城等特色合作平台，深入探索与广深港澳深度合作新模式。高质量打造仲恺港澳青年创业基地等平台，</w:t>
      </w:r>
      <w:r>
        <w:rPr>
          <w:rFonts w:hint="eastAsia"/>
        </w:rPr>
        <w:t>吸引更多港澳青少年来内地学习、就业、生活，增进三地青少年交流交往</w:t>
      </w:r>
      <w:r>
        <w:t>。</w:t>
      </w:r>
    </w:p>
    <w:p>
      <w:pPr>
        <w:overflowPunct w:val="0"/>
        <w:spacing w:line="600" w:lineRule="exact"/>
        <w:ind w:firstLine="643"/>
      </w:pPr>
      <w:r>
        <w:rPr>
          <w:b/>
          <w:bCs/>
        </w:rPr>
        <w:t>全力支持深圳建设社会主义先行示范区。</w:t>
      </w:r>
      <w:r>
        <w:t>积极参与深圳都市圈建设，推进深莞惠联动发展，探索共建深莞惠区域协同发展试验区，共同打造具有全球竞争力的电子信息、人工智能等世界级先进制造产业集群，加快形成优势互补高质量发展区域经济布局。科学规划建设同城化综合交通体系，加快深惠一体化发展步伐。推进大科学装置集群开放共享，支持深圳建设综合性国家科学中心。一体化保护和开发深惠黄金岸线和海洋资源，支持深圳建设全球海洋中心城市。抢抓重要战略机遇期，大力承接深圳优质产业跨区域延伸布局，筑牢都市圈产业链供应链。争取复制推广深圳综合改革试点成功改革事项，对标深圳打造市场化法治化国际化营商环境。</w:t>
      </w:r>
    </w:p>
    <w:p>
      <w:pPr>
        <w:overflowPunct w:val="0"/>
        <w:spacing w:line="600" w:lineRule="exact"/>
        <w:ind w:firstLine="640"/>
      </w:pPr>
    </w:p>
    <w:p>
      <w:pPr>
        <w:pStyle w:val="9"/>
        <w:overflowPunct w:val="0"/>
        <w:spacing w:line="240" w:lineRule="auto"/>
        <w:ind w:firstLine="0" w:firstLineChars="0"/>
        <w:jc w:val="center"/>
      </w:pPr>
      <w:r>
        <w:rPr>
          <w:rFonts w:hint="eastAsia"/>
        </w:rPr>
        <w:drawing>
          <wp:inline distT="0" distB="0" distL="0" distR="0">
            <wp:extent cx="5681345" cy="3482975"/>
            <wp:effectExtent l="9525" t="9525" r="24130" b="12700"/>
            <wp:docPr id="9" name="图片 5"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Administrator\Desktop\图片2.jpg图片2"/>
                    <pic:cNvPicPr>
                      <a:picLocks noChangeAspect="1" noChangeArrowheads="1"/>
                    </pic:cNvPicPr>
                  </pic:nvPicPr>
                  <pic:blipFill>
                    <a:blip r:embed="rId26">
                      <a:extLst>
                        <a:ext uri="{28A0092B-C50C-407E-A947-70E740481C1C}">
                          <a14:useLocalDpi xmlns:a14="http://schemas.microsoft.com/office/drawing/2010/main" val="0"/>
                        </a:ext>
                      </a:extLst>
                    </a:blip>
                    <a:srcRect l="2868" t="10897" r="2733" b="1692"/>
                    <a:stretch>
                      <a:fillRect/>
                    </a:stretch>
                  </pic:blipFill>
                  <pic:spPr>
                    <a:xfrm>
                      <a:off x="0" y="0"/>
                      <a:ext cx="5681345" cy="3482975"/>
                    </a:xfrm>
                    <a:prstGeom prst="rect">
                      <a:avLst/>
                    </a:prstGeom>
                    <a:noFill/>
                    <a:ln>
                      <a:solidFill>
                        <a:schemeClr val="tx1"/>
                      </a:solidFill>
                      <a:prstDash val="solid"/>
                    </a:ln>
                    <a:effectLst/>
                  </pic:spPr>
                </pic:pic>
              </a:graphicData>
            </a:graphic>
          </wp:inline>
        </w:drawing>
      </w:r>
    </w:p>
    <w:p>
      <w:pPr>
        <w:pStyle w:val="26"/>
        <w:rPr>
          <w:rFonts w:eastAsia="仿宋_GB2312"/>
        </w:rPr>
      </w:pPr>
      <w:r>
        <w:rPr>
          <w:rFonts w:hint="eastAsia"/>
        </w:rPr>
        <w:t>图11 惠州对接深圳示范区布局图</w:t>
      </w:r>
    </w:p>
    <w:p>
      <w:pPr>
        <w:spacing w:line="240" w:lineRule="auto"/>
        <w:ind w:firstLine="640"/>
      </w:pPr>
    </w:p>
    <w:p>
      <w:pPr>
        <w:overflowPunct w:val="0"/>
        <w:spacing w:line="600" w:lineRule="exact"/>
        <w:ind w:firstLine="643" w:firstLineChars="0"/>
      </w:pPr>
      <w:r>
        <w:rPr>
          <w:b/>
          <w:bCs/>
        </w:rPr>
        <w:t>全力支持广州</w:t>
      </w:r>
      <w:r>
        <w:rPr>
          <w:rFonts w:hint="eastAsia"/>
          <w:b/>
          <w:bCs/>
        </w:rPr>
        <w:t>“</w:t>
      </w:r>
      <w:r>
        <w:rPr>
          <w:b/>
          <w:bCs/>
        </w:rPr>
        <w:t>四个出新出彩</w:t>
      </w:r>
      <w:r>
        <w:rPr>
          <w:rFonts w:hint="eastAsia"/>
          <w:b/>
          <w:bCs/>
        </w:rPr>
        <w:t>”</w:t>
      </w:r>
      <w:r>
        <w:rPr>
          <w:rStyle w:val="21"/>
          <w:b/>
          <w:bCs/>
        </w:rPr>
        <w:footnoteReference w:id="10"/>
      </w:r>
      <w:r>
        <w:rPr>
          <w:b/>
          <w:bCs/>
        </w:rPr>
        <w:t>实现老城市新活力。</w:t>
      </w:r>
      <w:r>
        <w:t>进一步加强广惠两地交流，拓展经济社会各领域的深度合作。依托沿干线铁路和高等级公路，建设广惠协同发展轴，加强与中新广州知识城、南沙科学城等战略对接、发展联动。紧密广汕铁路惠州段与广州段站场运行对接，增强惠州区域枢纽功能。支持广州提升医疗教育文化中心功能，争取更多广州三甲医院在惠州设置分支机构、更多优质高校在惠州设置分校，积极为大中专毕业生在惠州就业创业提供优质环境。加强潼湖生态智慧区、稔平半岛、金山新城与广州知识城、广州南沙自贸区的合作，复制推广先行先试经验，促进重大平台开放创新发展。</w:t>
      </w:r>
    </w:p>
    <w:p>
      <w:pPr>
        <w:overflowPunct w:val="0"/>
        <w:spacing w:line="600" w:lineRule="exact"/>
        <w:ind w:firstLine="640"/>
      </w:pPr>
    </w:p>
    <w:p>
      <w:pPr>
        <w:pStyle w:val="5"/>
        <w:overflowPunct w:val="0"/>
        <w:spacing w:line="600" w:lineRule="exact"/>
      </w:pPr>
      <w:bookmarkStart w:id="183" w:name="_Toc26611"/>
      <w:bookmarkStart w:id="184" w:name="_Toc4071"/>
      <w:bookmarkStart w:id="185" w:name="_Toc2689"/>
      <w:bookmarkStart w:id="186" w:name="_Toc2646"/>
      <w:r>
        <w:t>第</w:t>
      </w:r>
      <w:r>
        <w:rPr>
          <w:rFonts w:hint="eastAsia"/>
        </w:rPr>
        <w:t>三</w:t>
      </w:r>
      <w:r>
        <w:t>节  提升城市现代化</w:t>
      </w:r>
      <w:r>
        <w:rPr>
          <w:rFonts w:hint="eastAsia"/>
        </w:rPr>
        <w:t>水平</w:t>
      </w:r>
      <w:bookmarkEnd w:id="183"/>
      <w:bookmarkEnd w:id="184"/>
      <w:bookmarkEnd w:id="185"/>
      <w:bookmarkEnd w:id="186"/>
    </w:p>
    <w:p>
      <w:pPr>
        <w:overflowPunct w:val="0"/>
        <w:spacing w:line="600" w:lineRule="exact"/>
        <w:ind w:firstLine="643"/>
      </w:pPr>
      <w:r>
        <w:rPr>
          <w:b/>
          <w:bCs/>
        </w:rPr>
        <w:t>提升城市发展能级。</w:t>
      </w:r>
      <w:r>
        <w:rPr>
          <w:rFonts w:hint="eastAsia"/>
        </w:rPr>
        <w:t>着力提升城市中心城区首位度，增强集聚和辐射功能。</w:t>
      </w:r>
      <w:r>
        <w:t>以惠城为中心、惠阳为副中心，依托1号公路经济走廊，大力推动沿江组团和沿海组团发展联动，促进全市向海向外发展。加快惠城与仲恺、惠阳与大亚湾实现行政区与功能区融合发展，助推市区扩容提质。高标准高起点规划建设金山新城、惠州湾产业新城、惠州南站新城等城市新增长极，全域统筹新城一体开发运营，系统导入现代产业资源，打造未来城市新中心、国内一流城市新样板。实施中心城区现代服务业优先发展战略，提升城市引领发展和辐射带动能力。推进城市功能完善、生态修复，合理确定城市规模、人口密度、空间结构，促进城市和城镇协调发展。创新城市治理思路，加强城市全周期管理，加强韧性城市建设，运用法治思维和法治方式解决城市治理顽症难题，推动城市治理体系和治理能力现代化。</w:t>
      </w:r>
    </w:p>
    <w:p>
      <w:pPr>
        <w:overflowPunct w:val="0"/>
        <w:spacing w:line="600" w:lineRule="exact"/>
        <w:ind w:firstLine="643"/>
      </w:pPr>
      <w:r>
        <w:rPr>
          <w:b/>
          <w:bCs/>
        </w:rPr>
        <w:t>扩大城市人口规模。</w:t>
      </w:r>
      <w:r>
        <w:t>坚持以产业聚人、以城市留人，科学编制人口发展规划，实施更加积极、开放、包容、弹性的人口均衡发展策略，加快实现人口规模适度、结构优化、素质提升，优化与人口发展相匹配的空间布局，远景打造千万级常住人口城市。持续深化户籍管理制度改革，实施更加积极宽松的落户政策，全面落实居住证制度，完善以居住证为载体的城镇常住人口基本公共服务提供机制。抢抓人口向城市群、都市圈流动的机遇，以青年需求为导向，进一步完善适合青年发展的就业创业政策、城市配套、城市文化和就业环境，更好满足青年群体吃、住、行、学、医、娱等需求，吸引更多青年人扎根惠州。加快农业转移人口市民化、外来人口本地化，切实维护进城农民的权益，建立多元</w:t>
      </w:r>
      <w:r>
        <w:rPr>
          <w:rFonts w:hint="eastAsia"/>
        </w:rPr>
        <w:t>化的</w:t>
      </w:r>
      <w:r>
        <w:t>市民化成本分担机制，完善财政转移支付和城镇新增用地规模与农业转移人口市民化挂钩政策，健全基本公共服务与常住人口挂钩机制，积极有序引导人口落户。</w:t>
      </w:r>
    </w:p>
    <w:p>
      <w:pPr>
        <w:overflowPunct w:val="0"/>
        <w:spacing w:line="600" w:lineRule="exact"/>
        <w:ind w:firstLine="643"/>
      </w:pPr>
      <w:r>
        <w:rPr>
          <w:rFonts w:hint="eastAsia"/>
          <w:b/>
          <w:bCs/>
        </w:rPr>
        <w:t>打造花园品质</w:t>
      </w:r>
      <w:r>
        <w:rPr>
          <w:b/>
          <w:bCs/>
        </w:rPr>
        <w:t>城市。</w:t>
      </w:r>
      <w:r>
        <w:t>以现代化国际化城市发展理念加强城市整体设计，促进建筑物、街道立面、天际线、色彩和环境更加协调优美，提升城市建设美学水平，建设让年轻人向往的城市。做精做细城市微观设计，加强历史文脉与现代文明深度融合，更多采用</w:t>
      </w:r>
      <w:r>
        <w:rPr>
          <w:rFonts w:hint="eastAsia"/>
        </w:rPr>
        <w:t>“</w:t>
      </w:r>
      <w:r>
        <w:t>绣花</w:t>
      </w:r>
      <w:r>
        <w:rPr>
          <w:rFonts w:hint="eastAsia"/>
        </w:rPr>
        <w:t>”</w:t>
      </w:r>
      <w:r>
        <w:t>功夫微改造，营造小尺度、人性化、富有韵味的城市空间肌理，提升城市空间品质。织密城市绿地网络，优化城市绿地布局，加强健康化、艺术化的公共活动空间供给，为市民提供更多高端休闲体验式文化空间。完善城市管理标准体系，推进城市净化、绿化、美化、亮化，</w:t>
      </w:r>
      <w:r>
        <w:rPr>
          <w:rFonts w:hint="eastAsia"/>
        </w:rPr>
        <w:t>打造“最干净整洁城市”，</w:t>
      </w:r>
      <w:r>
        <w:t>提升城市颜值。</w:t>
      </w:r>
    </w:p>
    <w:p>
      <w:pPr>
        <w:overflowPunct w:val="0"/>
        <w:spacing w:line="600" w:lineRule="exact"/>
        <w:ind w:firstLine="643"/>
      </w:pPr>
      <w:r>
        <w:rPr>
          <w:b/>
          <w:bCs/>
        </w:rPr>
        <w:t>实施城市更新行动。</w:t>
      </w:r>
      <w:r>
        <w:t>坚持经营城市理念，全面优化城市空间资源要素配置，充分发挥城市更新对</w:t>
      </w:r>
      <w:r>
        <w:rPr>
          <w:rFonts w:hint="eastAsia"/>
        </w:rPr>
        <w:t>中</w:t>
      </w:r>
      <w:r>
        <w:t>心城区发展的促进作用，促进城市更新向重点片区</w:t>
      </w:r>
      <w:r>
        <w:rPr>
          <w:rFonts w:hint="eastAsia"/>
        </w:rPr>
        <w:t>、</w:t>
      </w:r>
      <w:r>
        <w:t>重大项目集中，逐步实现空间优化、产业升级、配套改善与社区转型，推动实现城市</w:t>
      </w:r>
      <w:r>
        <w:rPr>
          <w:rFonts w:hint="eastAsia"/>
        </w:rPr>
        <w:t>“</w:t>
      </w:r>
      <w:r>
        <w:t>精明增长</w:t>
      </w:r>
      <w:r>
        <w:rPr>
          <w:rFonts w:hint="eastAsia"/>
        </w:rPr>
        <w:t>”</w:t>
      </w:r>
      <w:r>
        <w:t>。建立高质量城市生态系统，探索可持续的城市更新机制，结合导入新产业、新基建、新人口，推动从简单的拆旧建新到全域的综合提升改造转变，实施一批具有示范性的城市更新项目。加强城镇老旧小区改造和完整社区建设，改善城中村居住环境和配套服务，</w:t>
      </w:r>
      <w:r>
        <w:rPr>
          <w:rFonts w:hint="eastAsia"/>
        </w:rPr>
        <w:t>加强惠民空间建设，</w:t>
      </w:r>
      <w:r>
        <w:t>强化历史文化保护。开展花边岭、西湖周边、桥东等旧商圈活化行动。持续深化</w:t>
      </w:r>
      <w:r>
        <w:rPr>
          <w:rFonts w:hint="eastAsia"/>
        </w:rPr>
        <w:t>“</w:t>
      </w:r>
      <w:r>
        <w:t>两违</w:t>
      </w:r>
      <w:r>
        <w:rPr>
          <w:rFonts w:hint="eastAsia"/>
        </w:rPr>
        <w:t>”</w:t>
      </w:r>
      <w:r>
        <w:t>整治，</w:t>
      </w:r>
      <w:r>
        <w:rPr>
          <w:rFonts w:hint="eastAsia"/>
        </w:rPr>
        <w:t>开展“无违建镇（街）”创建，</w:t>
      </w:r>
      <w:r>
        <w:t>确保</w:t>
      </w:r>
      <w:r>
        <w:rPr>
          <w:rFonts w:hint="eastAsia"/>
        </w:rPr>
        <w:t>“</w:t>
      </w:r>
      <w:r>
        <w:t>减存量、零增量</w:t>
      </w:r>
      <w:r>
        <w:rPr>
          <w:rFonts w:hint="eastAsia"/>
        </w:rPr>
        <w:t>”</w:t>
      </w:r>
      <w:r>
        <w:t>。加强城市户外广告（招）牌规范管理工作，提升户外广告（招）牌整体品质。</w:t>
      </w:r>
    </w:p>
    <w:p>
      <w:pPr>
        <w:overflowPunct w:val="0"/>
        <w:spacing w:line="600" w:lineRule="exact"/>
        <w:ind w:firstLine="643"/>
      </w:pPr>
      <w:r>
        <w:rPr>
          <w:b/>
          <w:bCs/>
        </w:rPr>
        <w:t>构建大西湖山水人文客厅。</w:t>
      </w:r>
      <w:r>
        <w:t>坚持尊重历史、突破传统、统筹融合的规划设计理念，对标借鉴杭州城市更新及杭州西湖景区等地</w:t>
      </w:r>
      <w:r>
        <w:rPr>
          <w:rFonts w:hint="eastAsia"/>
        </w:rPr>
        <w:t>“</w:t>
      </w:r>
      <w:r>
        <w:t>景城融合</w:t>
      </w:r>
      <w:r>
        <w:rPr>
          <w:rFonts w:hint="eastAsia"/>
        </w:rPr>
        <w:t>”</w:t>
      </w:r>
      <w:r>
        <w:t>的发展模式，提升惠州西湖景观质量和文化内涵，高标准系统推动惠州西湖及周边的道路和建筑等更新改造，推动实现城市现代化更新</w:t>
      </w:r>
      <w:r>
        <w:rPr>
          <w:rFonts w:hint="eastAsia"/>
        </w:rPr>
        <w:t>、</w:t>
      </w:r>
      <w:r>
        <w:t>历史文化传承创新、人居环境提升融合促进。以环西湖文化内涵提升、千年惠州文脉内核挖掘为重点，整体规划推进环西湖城市中央休闲文化区与水东街、金带街、北门直街、铁炉湖等省级历史文化街区保护利用，焕发千年古城新活力，打造特色靓丽的城市名片。</w:t>
      </w:r>
    </w:p>
    <w:p>
      <w:pPr>
        <w:overflowPunct w:val="0"/>
        <w:spacing w:line="600" w:lineRule="exact"/>
        <w:ind w:firstLine="643"/>
      </w:pPr>
      <w:r>
        <w:rPr>
          <w:b/>
          <w:bCs/>
        </w:rPr>
        <w:t>加快建设公园城市。</w:t>
      </w:r>
      <w:r>
        <w:t>秉持公园城市理念，推进城市建管模式变革。保护和依托山水林田湖海等自然基底，融合城市历史文化特色，全域统筹规划建设</w:t>
      </w:r>
      <w:r>
        <w:rPr>
          <w:rFonts w:hint="eastAsia"/>
        </w:rPr>
        <w:t>“</w:t>
      </w:r>
      <w:r>
        <w:t>城在园中、园在城中</w:t>
      </w:r>
      <w:r>
        <w:rPr>
          <w:rFonts w:hint="eastAsia"/>
        </w:rPr>
        <w:t>”</w:t>
      </w:r>
      <w:r>
        <w:t>的现代公园城市，让</w:t>
      </w:r>
      <w:r>
        <w:rPr>
          <w:rFonts w:hint="eastAsia"/>
        </w:rPr>
        <w:t>“</w:t>
      </w:r>
      <w:r>
        <w:t>坐城观山悦湖揽江品海赏绿</w:t>
      </w:r>
      <w:r>
        <w:rPr>
          <w:rFonts w:hint="eastAsia"/>
        </w:rPr>
        <w:t>”</w:t>
      </w:r>
      <w:r>
        <w:t>成为惠州新名片。推动城市公园增量提质，新城规划更加注重</w:t>
      </w:r>
      <w:r>
        <w:rPr>
          <w:rFonts w:hint="eastAsia"/>
        </w:rPr>
        <w:t>“</w:t>
      </w:r>
      <w:r>
        <w:t>留白与增绿</w:t>
      </w:r>
      <w:r>
        <w:rPr>
          <w:rFonts w:hint="eastAsia"/>
        </w:rPr>
        <w:t>”</w:t>
      </w:r>
      <w:r>
        <w:t>，老城更新更加注重</w:t>
      </w:r>
      <w:r>
        <w:rPr>
          <w:rFonts w:hint="eastAsia"/>
        </w:rPr>
        <w:t>“</w:t>
      </w:r>
      <w:r>
        <w:t>盘活与复绿</w:t>
      </w:r>
      <w:r>
        <w:rPr>
          <w:rFonts w:hint="eastAsia"/>
        </w:rPr>
        <w:t>”</w:t>
      </w:r>
      <w:r>
        <w:t>，通过边角地整理、见缝插绿等方式增加社区公园、</w:t>
      </w:r>
      <w:r>
        <w:rPr>
          <w:rFonts w:hint="eastAsia"/>
        </w:rPr>
        <w:t>社区</w:t>
      </w:r>
      <w:r>
        <w:t>游园等，加快构建</w:t>
      </w:r>
      <w:r>
        <w:rPr>
          <w:rFonts w:hint="eastAsia"/>
        </w:rPr>
        <w:t>“</w:t>
      </w:r>
      <w:r>
        <w:t>自然公园</w:t>
      </w:r>
      <w:r>
        <w:rPr>
          <w:rFonts w:hint="eastAsia"/>
        </w:rPr>
        <w:t>—</w:t>
      </w:r>
      <w:r>
        <w:t>城市公园</w:t>
      </w:r>
      <w:r>
        <w:rPr>
          <w:rFonts w:hint="eastAsia"/>
        </w:rPr>
        <w:t>—</w:t>
      </w:r>
      <w:r>
        <w:rPr>
          <w:spacing w:val="4"/>
        </w:rPr>
        <w:t>社区公园</w:t>
      </w:r>
      <w:r>
        <w:rPr>
          <w:rFonts w:hint="eastAsia"/>
          <w:spacing w:val="4"/>
        </w:rPr>
        <w:t>”</w:t>
      </w:r>
      <w:r>
        <w:rPr>
          <w:spacing w:val="4"/>
        </w:rPr>
        <w:t>三级公园体系。加强精细化管理，提供优质公园服</w:t>
      </w:r>
      <w:r>
        <w:t>务。</w:t>
      </w:r>
    </w:p>
    <w:p>
      <w:pPr>
        <w:overflowPunct w:val="0"/>
        <w:spacing w:line="240" w:lineRule="auto"/>
        <w:ind w:firstLine="0" w:firstLineChars="0"/>
      </w:pPr>
    </w:p>
    <w:p>
      <w:pPr>
        <w:pStyle w:val="5"/>
        <w:overflowPunct w:val="0"/>
        <w:spacing w:line="600" w:lineRule="exact"/>
      </w:pPr>
      <w:bookmarkStart w:id="187" w:name="_Toc10506"/>
      <w:bookmarkStart w:id="188" w:name="_Toc14785"/>
      <w:bookmarkStart w:id="189" w:name="_Toc15580"/>
      <w:bookmarkStart w:id="190" w:name="_Toc31171"/>
      <w:r>
        <w:t>第</w:t>
      </w:r>
      <w:r>
        <w:rPr>
          <w:rFonts w:hint="eastAsia"/>
        </w:rPr>
        <w:t>四</w:t>
      </w:r>
      <w:r>
        <w:t xml:space="preserve">节  </w:t>
      </w:r>
      <w:r>
        <w:rPr>
          <w:rFonts w:hint="eastAsia"/>
        </w:rPr>
        <w:t>推进新型城镇化建设</w:t>
      </w:r>
      <w:bookmarkEnd w:id="187"/>
      <w:bookmarkEnd w:id="188"/>
      <w:bookmarkEnd w:id="189"/>
      <w:bookmarkEnd w:id="190"/>
    </w:p>
    <w:p>
      <w:pPr>
        <w:overflowPunct w:val="0"/>
        <w:spacing w:line="600" w:lineRule="exact"/>
        <w:ind w:firstLine="643"/>
      </w:pPr>
      <w:r>
        <w:rPr>
          <w:b/>
          <w:bCs/>
        </w:rPr>
        <w:t>强化县城综合服务能力。</w:t>
      </w:r>
      <w:r>
        <w:t>加强县级城乡一体化规划，构建县城—重点镇—行政村协同发展格局。推进以县城为主要载体的城镇化建设，以县域作为城乡融合发展的重要切入点，赋予县级更多资源整合使用的自主权，提高县城规划建设、服务管理水平，增强人口集聚和综合承载力，推动农业转移人口就地就近城镇化。扎实开展惠东、博罗、龙门全国县城新型城镇化建设示范县工作，争取更多国家和省政策支持，着力补齐城镇化短板弱项，强化基础设施支撑、公共服务保障和产业发展带动，推动强县和富民相统一、改革与发展相结合、城镇与乡村相贯通。结合</w:t>
      </w:r>
      <w:r>
        <w:rPr>
          <w:rFonts w:hint="eastAsia"/>
        </w:rPr>
        <w:t>“</w:t>
      </w:r>
      <w:r>
        <w:t>丰</w:t>
      </w:r>
      <w:r>
        <w:rPr>
          <w:rFonts w:hint="eastAsia"/>
        </w:rPr>
        <w:t>”</w:t>
      </w:r>
      <w:r>
        <w:t>字道路交通</w:t>
      </w:r>
      <w:r>
        <w:rPr>
          <w:rFonts w:hint="eastAsia"/>
        </w:rPr>
        <w:t>主框架</w:t>
      </w:r>
      <w:r>
        <w:t>，因地制宜规划建设县域产业新城，引导产业布局，</w:t>
      </w:r>
      <w:r>
        <w:rPr>
          <w:spacing w:val="4"/>
        </w:rPr>
        <w:t>统筹推进县城扩容提质与产业新城发展联动，促进产城人融合发</w:t>
      </w:r>
      <w:r>
        <w:t>展。</w:t>
      </w:r>
    </w:p>
    <w:p>
      <w:pPr>
        <w:overflowPunct w:val="0"/>
        <w:spacing w:line="600" w:lineRule="exact"/>
        <w:ind w:firstLine="643"/>
      </w:pPr>
      <w:r>
        <w:rPr>
          <w:b/>
          <w:bCs/>
        </w:rPr>
        <w:t>发挥小城镇联结城乡作用。</w:t>
      </w:r>
      <w:r>
        <w:t>加快完善乡镇片区基础设施、公共服务和商贸流通功能，打造县连接村的重要节点。推进惠城横沥镇、博罗杨村镇省级城乡融合发展中心镇试点，建立美丽小城镇发展机制，推进中心镇公共服务设施提标扩面、卫生环境设施提级扩能、市政公用设施提档升级、产业培育设施提质增效，增强城镇对乡村的辐射带动能力，促进</w:t>
      </w:r>
      <w:r>
        <w:rPr>
          <w:rFonts w:hint="eastAsia"/>
        </w:rPr>
        <w:t>“</w:t>
      </w:r>
      <w:r>
        <w:t>以镇带村</w:t>
      </w:r>
      <w:r>
        <w:rPr>
          <w:rFonts w:hint="eastAsia"/>
        </w:rPr>
        <w:t>”</w:t>
      </w:r>
      <w:r>
        <w:t>一体发展。</w:t>
      </w:r>
    </w:p>
    <w:p>
      <w:pPr>
        <w:overflowPunct w:val="0"/>
        <w:spacing w:line="600" w:lineRule="exact"/>
        <w:ind w:firstLine="0" w:firstLineChars="0"/>
      </w:pPr>
      <w:r>
        <w:br w:type="page"/>
      </w:r>
    </w:p>
    <w:p>
      <w:pPr>
        <w:pStyle w:val="4"/>
        <w:overflowPunct w:val="0"/>
        <w:rPr>
          <w:rFonts w:ascii="方正小标宋_GBK" w:eastAsia="方正小标宋_GBK"/>
          <w:sz w:val="36"/>
          <w:szCs w:val="36"/>
        </w:rPr>
      </w:pPr>
      <w:bookmarkStart w:id="191" w:name="_Toc21179"/>
      <w:bookmarkStart w:id="192" w:name="_Toc5543"/>
      <w:bookmarkStart w:id="193" w:name="_Toc17412"/>
      <w:bookmarkStart w:id="194" w:name="_Toc29963"/>
      <w:r>
        <w:rPr>
          <w:rFonts w:hint="eastAsia" w:ascii="方正小标宋_GBK" w:eastAsia="方正小标宋_GBK"/>
          <w:sz w:val="36"/>
          <w:szCs w:val="36"/>
        </w:rPr>
        <w:t>第十章  全面实施乡村振兴战略 加快农业农村现代化</w:t>
      </w:r>
      <w:bookmarkEnd w:id="191"/>
      <w:bookmarkEnd w:id="192"/>
      <w:bookmarkEnd w:id="193"/>
      <w:bookmarkEnd w:id="194"/>
    </w:p>
    <w:p>
      <w:pPr>
        <w:overflowPunct w:val="0"/>
        <w:spacing w:line="600" w:lineRule="exact"/>
        <w:ind w:firstLine="640"/>
        <w:rPr>
          <w:szCs w:val="32"/>
        </w:rPr>
      </w:pPr>
      <w:bookmarkStart w:id="195" w:name="_Toc30559"/>
      <w:bookmarkStart w:id="196" w:name="_Toc9844"/>
    </w:p>
    <w:p>
      <w:pPr>
        <w:overflowPunct w:val="0"/>
        <w:spacing w:line="600" w:lineRule="exact"/>
        <w:ind w:firstLine="640"/>
        <w:rPr>
          <w:szCs w:val="32"/>
        </w:rPr>
      </w:pPr>
      <w:r>
        <w:rPr>
          <w:szCs w:val="32"/>
        </w:rPr>
        <w:t>坚持把解决好</w:t>
      </w:r>
      <w:r>
        <w:rPr>
          <w:rFonts w:hint="eastAsia"/>
          <w:szCs w:val="32"/>
        </w:rPr>
        <w:t>“</w:t>
      </w:r>
      <w:r>
        <w:rPr>
          <w:szCs w:val="32"/>
        </w:rPr>
        <w:t>三农</w:t>
      </w:r>
      <w:r>
        <w:rPr>
          <w:rFonts w:hint="eastAsia"/>
          <w:szCs w:val="32"/>
        </w:rPr>
        <w:t>”</w:t>
      </w:r>
      <w:r>
        <w:rPr>
          <w:szCs w:val="32"/>
        </w:rPr>
        <w:t>问题作为重中之重，推动形成工农互促、城乡互补、协调发展、共同繁荣的新型工农城乡关系，建立现代农业产业体系，建设精美农村、发展精细农业、培养精勤农民，实现产业兴旺、生态宜居、乡风文明、治理有效、生活富裕。</w:t>
      </w:r>
      <w:bookmarkEnd w:id="195"/>
    </w:p>
    <w:p>
      <w:pPr>
        <w:overflowPunct w:val="0"/>
        <w:spacing w:line="600" w:lineRule="exact"/>
        <w:ind w:firstLine="640"/>
      </w:pPr>
    </w:p>
    <w:p>
      <w:pPr>
        <w:pStyle w:val="5"/>
        <w:overflowPunct w:val="0"/>
        <w:spacing w:line="600" w:lineRule="exact"/>
      </w:pPr>
      <w:bookmarkStart w:id="197" w:name="_Toc24864"/>
      <w:bookmarkStart w:id="198" w:name="_Toc31422"/>
      <w:bookmarkStart w:id="199" w:name="_Toc3873"/>
      <w:bookmarkStart w:id="200" w:name="_Toc15438"/>
      <w:r>
        <w:t>第</w:t>
      </w:r>
      <w:r>
        <w:rPr>
          <w:rFonts w:hint="eastAsia"/>
        </w:rPr>
        <w:t>一</w:t>
      </w:r>
      <w:r>
        <w:t xml:space="preserve">节  </w:t>
      </w:r>
      <w:bookmarkEnd w:id="196"/>
      <w:r>
        <w:rPr>
          <w:rFonts w:hint="eastAsia"/>
        </w:rPr>
        <w:t>推进乡村产业振兴</w:t>
      </w:r>
      <w:bookmarkEnd w:id="197"/>
      <w:bookmarkEnd w:id="198"/>
      <w:bookmarkEnd w:id="199"/>
      <w:bookmarkEnd w:id="200"/>
    </w:p>
    <w:p>
      <w:pPr>
        <w:overflowPunct w:val="0"/>
        <w:spacing w:line="600" w:lineRule="exact"/>
        <w:ind w:firstLine="643"/>
      </w:pPr>
      <w:r>
        <w:rPr>
          <w:b/>
          <w:bCs/>
        </w:rPr>
        <w:t>推动现代农业主体创新。</w:t>
      </w:r>
      <w:r>
        <w:t>依托新时代文明实践中心平台建设，普及科学知识，更新落后观念，培育精勤农民。提高农业生产组织现代化程度，构建农民对接</w:t>
      </w:r>
      <w:r>
        <w:rPr>
          <w:rFonts w:hint="eastAsia"/>
        </w:rPr>
        <w:t>精准</w:t>
      </w:r>
      <w:r>
        <w:t>市场的新型组织体系。推进农村创业创新，推动城市工商资本下乡，培育壮大农业龙头企业、农民合作社、家庭农场等新型农业经营主体，构建新型助农服务体系，实现小农户和现代农业有机衔接。加快现代农业产业园、农业公园和田园综合体建设，完善利益联结机制，发展多种形式适度规模经营，健全农业专业化社会化服务体系，推动农业向现代化、规模化发展。</w:t>
      </w:r>
    </w:p>
    <w:p>
      <w:pPr>
        <w:overflowPunct w:val="0"/>
        <w:spacing w:line="600" w:lineRule="exact"/>
        <w:ind w:firstLine="643"/>
        <w:rPr>
          <w:spacing w:val="4"/>
        </w:rPr>
      </w:pPr>
      <w:r>
        <w:rPr>
          <w:b/>
          <w:bCs/>
        </w:rPr>
        <w:t>推动人才和技术下乡。</w:t>
      </w:r>
      <w:r>
        <w:t>强化农业科技和装备支撑，大力发展智慧农业。实施现代种业提升工程，健全动物防疫和农作物病虫害防治体系。探索赋予紧缺型、技能型人才农村集体经济组织成员资格或收益股权等形式，吸引人才返乡入乡创业兴业。持续实施科技特派员制度、</w:t>
      </w:r>
      <w:r>
        <w:rPr>
          <w:rFonts w:hint="eastAsia"/>
        </w:rPr>
        <w:t>“</w:t>
      </w:r>
      <w:r>
        <w:t>人才服务团</w:t>
      </w:r>
      <w:r>
        <w:rPr>
          <w:rFonts w:hint="eastAsia"/>
        </w:rPr>
        <w:t>”</w:t>
      </w:r>
      <w:r>
        <w:t>项目，让先进技术改造农业产业。实施</w:t>
      </w:r>
      <w:r>
        <w:rPr>
          <w:rFonts w:hint="eastAsia"/>
        </w:rPr>
        <w:t>“</w:t>
      </w:r>
      <w:r>
        <w:t>惠州学子回乡计划</w:t>
      </w:r>
      <w:r>
        <w:rPr>
          <w:rFonts w:hint="eastAsia"/>
        </w:rPr>
        <w:t>”“</w:t>
      </w:r>
      <w:r>
        <w:t>人才回归计划</w:t>
      </w:r>
      <w:r>
        <w:rPr>
          <w:rFonts w:hint="eastAsia"/>
        </w:rPr>
        <w:t>”</w:t>
      </w:r>
      <w:r>
        <w:t>，与农业企业、院校开展</w:t>
      </w:r>
      <w:r>
        <w:rPr>
          <w:rFonts w:hint="eastAsia"/>
        </w:rPr>
        <w:t>“</w:t>
      </w:r>
      <w:r>
        <w:t>订单式</w:t>
      </w:r>
      <w:r>
        <w:rPr>
          <w:rFonts w:hint="eastAsia"/>
        </w:rPr>
        <w:t>”</w:t>
      </w:r>
      <w:r>
        <w:t>乡村人才培养，培育返乡农民工、入乡科技人员、在乡能人等创业主体，增强乡村产业发展动能。加强</w:t>
      </w:r>
      <w:r>
        <w:rPr>
          <w:spacing w:val="4"/>
        </w:rPr>
        <w:t>乡村</w:t>
      </w:r>
      <w:r>
        <w:rPr>
          <w:rFonts w:hint="eastAsia"/>
          <w:spacing w:val="4"/>
        </w:rPr>
        <w:t>医生</w:t>
      </w:r>
      <w:r>
        <w:rPr>
          <w:spacing w:val="4"/>
        </w:rPr>
        <w:t>、教师和社会文化服务人才队伍建设，改善农村公共服务。</w:t>
      </w:r>
    </w:p>
    <w:p>
      <w:pPr>
        <w:overflowPunct w:val="0"/>
        <w:ind w:firstLine="643"/>
      </w:pPr>
      <w:r>
        <w:rPr>
          <w:b/>
          <w:bCs/>
        </w:rPr>
        <w:t>大力发展乡村特色产业。</w:t>
      </w:r>
      <w:r>
        <w:t>持续推进高标准农田建设，推广设施大棚等装备技术，推进农业全程全面机械化，补</w:t>
      </w:r>
      <w:r>
        <w:rPr>
          <w:rFonts w:hint="eastAsia"/>
        </w:rPr>
        <w:t>齐</w:t>
      </w:r>
      <w:r>
        <w:t>农村冷链物流短板。深入推进农业供给侧结构性改革，优化产业布局和结构调整，做强做精丝苗米、马铃薯、梅菜、荔枝等国家地理标志农产品，推动品种培优、品质提升、品牌打造和标准化生产，增加绿色优质农产品供给，打造</w:t>
      </w:r>
      <w:r>
        <w:rPr>
          <w:rFonts w:hint="eastAsia"/>
        </w:rPr>
        <w:t>“</w:t>
      </w:r>
      <w:r>
        <w:t>一村一品、一镇一业</w:t>
      </w:r>
      <w:r>
        <w:rPr>
          <w:rFonts w:hint="eastAsia"/>
        </w:rPr>
        <w:t>”</w:t>
      </w:r>
      <w:r>
        <w:t>的精细农业。发展农产品加工业，引导加工企业重心下沉，把更多的就业机会和增值收益留在农村、留给农民。加快发展农业观赏体验、农产品精深加工、乡村民宿和土菜馆等，完善农业产业链条，提升农产品附加值，促进农村一二三产业融合发展。振兴乡村传统工艺，培育家庭工场、手工作坊、乡村车间。组织实施</w:t>
      </w:r>
      <w:r>
        <w:rPr>
          <w:rFonts w:hint="eastAsia"/>
        </w:rPr>
        <w:t>“</w:t>
      </w:r>
      <w:r>
        <w:t>百园万站</w:t>
      </w:r>
      <w:r>
        <w:rPr>
          <w:rFonts w:hint="eastAsia"/>
        </w:rPr>
        <w:t>”</w:t>
      </w:r>
      <w:r>
        <w:t>行动，扶持创建一批农村电商产业园和农村电商示范站。健全农村金融服务体系，推广农业保险。</w:t>
      </w:r>
    </w:p>
    <w:p>
      <w:pPr>
        <w:overflowPunct w:val="0"/>
        <w:spacing w:line="600" w:lineRule="exact"/>
        <w:ind w:firstLine="640"/>
      </w:pPr>
    </w:p>
    <w:tbl>
      <w:tblPr>
        <w:tblStyle w:val="18"/>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9" w:type="dxa"/>
            <w:tcMar>
              <w:top w:w="170" w:type="dxa"/>
              <w:bottom w:w="170" w:type="dxa"/>
            </w:tcMar>
          </w:tcPr>
          <w:p>
            <w:pPr>
              <w:pStyle w:val="26"/>
              <w:overflowPunct w:val="0"/>
              <w:spacing w:line="240" w:lineRule="auto"/>
            </w:pPr>
            <w:r>
              <w:t>专栏</w:t>
            </w:r>
            <w:r>
              <w:rPr>
                <w:rFonts w:hint="eastAsia"/>
              </w:rPr>
              <w:t>3</w:t>
            </w:r>
            <w:r>
              <w:t xml:space="preserve">  </w:t>
            </w:r>
            <w:r>
              <w:rPr>
                <w:rFonts w:hint="eastAsia"/>
              </w:rPr>
              <w:t>惠州国家地理标志认证农产品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9" w:type="dxa"/>
            <w:tcMar>
              <w:top w:w="170" w:type="dxa"/>
              <w:bottom w:w="170" w:type="dxa"/>
            </w:tcMar>
          </w:tcPr>
          <w:p>
            <w:pPr>
              <w:pStyle w:val="31"/>
              <w:overflowPunct w:val="0"/>
              <w:spacing w:line="240" w:lineRule="auto"/>
              <w:ind w:firstLine="480" w:firstLineChars="200"/>
              <w:jc w:val="both"/>
              <w:rPr>
                <w:rFonts w:eastAsia="仿宋_GB2312"/>
              </w:rPr>
            </w:pPr>
            <w:r>
              <w:rPr>
                <w:rFonts w:hint="eastAsia" w:eastAsia="仿宋_GB2312"/>
              </w:rPr>
              <w:t>惠州梅菜、惠城矮陂梅菜、罗浮山大米、龙门大米、镇隆荔枝、罗浮山荔枝、观音阁红糖、观音阁花生、福田菜心、龙门年桔、龙门蜂蜜、三黄胡须鸡、惠东马铃薯、柏塘山茶、龙门麻榨杨桃。</w:t>
            </w:r>
          </w:p>
        </w:tc>
      </w:tr>
    </w:tbl>
    <w:p>
      <w:pPr>
        <w:pStyle w:val="5"/>
        <w:overflowPunct w:val="0"/>
        <w:spacing w:line="600" w:lineRule="exact"/>
      </w:pPr>
      <w:bookmarkStart w:id="201" w:name="_Toc6733"/>
      <w:bookmarkStart w:id="202" w:name="_Toc9711"/>
      <w:bookmarkStart w:id="203" w:name="_Toc18522"/>
      <w:bookmarkStart w:id="204" w:name="_Toc14804"/>
      <w:r>
        <w:rPr>
          <w:rFonts w:hint="eastAsia"/>
        </w:rPr>
        <w:t>第二节  深化农村改革</w:t>
      </w:r>
      <w:bookmarkEnd w:id="201"/>
      <w:bookmarkEnd w:id="202"/>
      <w:bookmarkEnd w:id="203"/>
      <w:bookmarkEnd w:id="204"/>
    </w:p>
    <w:p>
      <w:pPr>
        <w:overflowPunct w:val="0"/>
        <w:spacing w:line="600" w:lineRule="exact"/>
        <w:ind w:firstLine="643"/>
      </w:pPr>
      <w:r>
        <w:rPr>
          <w:b/>
          <w:bCs/>
        </w:rPr>
        <w:t>鼓励承包土地经营权流转。</w:t>
      </w:r>
      <w:r>
        <w:t>落实第二轮土地承包到期后再延长三十年政策，充分尊重农民意愿，科学推动土地流转和适度规模经营。加快健全土地经营权流转市场，完善县</w:t>
      </w:r>
      <w:r>
        <w:rPr>
          <w:rFonts w:hint="eastAsia"/>
        </w:rPr>
        <w:t>镇</w:t>
      </w:r>
      <w:r>
        <w:t>村三级服务和管理网络。探索建立工商企业流转农业用地风险保障金制度，</w:t>
      </w:r>
      <w:r>
        <w:rPr>
          <w:rFonts w:hint="eastAsia"/>
        </w:rPr>
        <w:t>坚决遏制耕地“</w:t>
      </w:r>
      <w:r>
        <w:t>非农化</w:t>
      </w:r>
      <w:r>
        <w:rPr>
          <w:rFonts w:hint="eastAsia"/>
        </w:rPr>
        <w:t>”</w:t>
      </w:r>
      <w:r>
        <w:rPr>
          <w:rStyle w:val="21"/>
        </w:rPr>
        <w:footnoteReference w:id="11"/>
      </w:r>
      <w:r>
        <w:t>，防止耕地</w:t>
      </w:r>
      <w:r>
        <w:rPr>
          <w:rFonts w:hint="eastAsia"/>
        </w:rPr>
        <w:t>“</w:t>
      </w:r>
      <w:r>
        <w:t>非粮化</w:t>
      </w:r>
      <w:r>
        <w:rPr>
          <w:rFonts w:hint="eastAsia"/>
        </w:rPr>
        <w:t>”</w:t>
      </w:r>
      <w:r>
        <w:t>。开展撂荒地</w:t>
      </w:r>
      <w:r>
        <w:rPr>
          <w:rFonts w:hint="eastAsia"/>
        </w:rPr>
        <w:t>“</w:t>
      </w:r>
      <w:r>
        <w:t>零弃耕</w:t>
      </w:r>
      <w:r>
        <w:rPr>
          <w:rFonts w:hint="eastAsia"/>
        </w:rPr>
        <w:t>”</w:t>
      </w:r>
      <w:r>
        <w:t>整治，鼓励新型经营主体承包撂荒地，有条件的地方可对流转土地给予奖补。</w:t>
      </w:r>
    </w:p>
    <w:p>
      <w:pPr>
        <w:overflowPunct w:val="0"/>
        <w:spacing w:line="600" w:lineRule="exact"/>
        <w:ind w:firstLine="634"/>
        <w:rPr>
          <w:spacing w:val="-2"/>
        </w:rPr>
      </w:pPr>
      <w:r>
        <w:rPr>
          <w:b/>
          <w:bCs/>
          <w:spacing w:val="-2"/>
        </w:rPr>
        <w:t>健全城乡统一的建设用地市场。</w:t>
      </w:r>
      <w:r>
        <w:rPr>
          <w:spacing w:val="-2"/>
        </w:rPr>
        <w:t>以龙门县开展全国农村宅基地制度改革试点为契机，探索宅基地所有权、资格权、使用权分置实现形式，强化土地出让收入优先支持乡村振兴政策，落实农民宅基地使用权可依法由城镇户籍的子女继承并办理不动产登记政策。深入实施农村</w:t>
      </w:r>
      <w:r>
        <w:rPr>
          <w:rFonts w:hint="eastAsia"/>
          <w:spacing w:val="-2"/>
        </w:rPr>
        <w:t>“</w:t>
      </w:r>
      <w:r>
        <w:rPr>
          <w:spacing w:val="-2"/>
        </w:rPr>
        <w:t>一户一宅</w:t>
      </w:r>
      <w:r>
        <w:rPr>
          <w:rFonts w:hint="eastAsia"/>
          <w:spacing w:val="-2"/>
        </w:rPr>
        <w:t>”</w:t>
      </w:r>
      <w:r>
        <w:rPr>
          <w:rStyle w:val="21"/>
          <w:spacing w:val="-2"/>
        </w:rPr>
        <w:footnoteReference w:id="12"/>
      </w:r>
      <w:r>
        <w:rPr>
          <w:spacing w:val="-2"/>
        </w:rPr>
        <w:t>、农房简约报建、农房风貌管控</w:t>
      </w:r>
      <w:r>
        <w:rPr>
          <w:rFonts w:hint="eastAsia"/>
          <w:spacing w:val="-2"/>
        </w:rPr>
        <w:t>“</w:t>
      </w:r>
      <w:r>
        <w:rPr>
          <w:spacing w:val="-2"/>
        </w:rPr>
        <w:t>三项改革</w:t>
      </w:r>
      <w:r>
        <w:rPr>
          <w:rFonts w:hint="eastAsia"/>
          <w:spacing w:val="-2"/>
        </w:rPr>
        <w:t>”</w:t>
      </w:r>
      <w:r>
        <w:rPr>
          <w:spacing w:val="-2"/>
        </w:rPr>
        <w:t>。健全城乡融合发展机制，推动城乡要素平等交换、双向流动。积极探索实施农村集体经营性建设用地入市制度。保障进城落户农民土地承包权、宅基地使用权、集体收益分配权。建立土地征收公共利益用地认定机制，缩小土地征收范围。</w:t>
      </w:r>
    </w:p>
    <w:p>
      <w:pPr>
        <w:pStyle w:val="9"/>
        <w:overflowPunct w:val="0"/>
        <w:spacing w:line="600" w:lineRule="exact"/>
      </w:pPr>
    </w:p>
    <w:p>
      <w:pPr>
        <w:pStyle w:val="5"/>
        <w:overflowPunct w:val="0"/>
        <w:spacing w:line="600" w:lineRule="exact"/>
      </w:pPr>
      <w:bookmarkStart w:id="205" w:name="_Toc18088"/>
      <w:bookmarkStart w:id="206" w:name="_Toc29876"/>
      <w:bookmarkStart w:id="207" w:name="_Toc5166"/>
      <w:bookmarkStart w:id="208" w:name="_Toc2038"/>
      <w:r>
        <w:rPr>
          <w:rFonts w:hint="eastAsia"/>
        </w:rPr>
        <w:t>第三节  建设美丽幸福乡村</w:t>
      </w:r>
      <w:bookmarkEnd w:id="205"/>
      <w:bookmarkEnd w:id="206"/>
      <w:bookmarkEnd w:id="207"/>
      <w:bookmarkEnd w:id="208"/>
    </w:p>
    <w:p>
      <w:pPr>
        <w:overflowPunct w:val="0"/>
        <w:spacing w:line="600" w:lineRule="exact"/>
        <w:ind w:firstLine="643"/>
      </w:pPr>
      <w:r>
        <w:rPr>
          <w:b/>
          <w:bCs/>
        </w:rPr>
        <w:t>实施乡村建设行动。</w:t>
      </w:r>
      <w:r>
        <w:t>统筹城镇和乡村规划建设，科学编制并实施村庄规划。加快三级及以下县（乡）道与高速公路、国省道便捷对接，加快推进</w:t>
      </w:r>
      <w:r>
        <w:rPr>
          <w:rFonts w:hint="eastAsia"/>
        </w:rPr>
        <w:t>“</w:t>
      </w:r>
      <w:r>
        <w:t>四好农村路</w:t>
      </w:r>
      <w:r>
        <w:rPr>
          <w:rFonts w:hint="eastAsia"/>
        </w:rPr>
        <w:t>”</w:t>
      </w:r>
      <w:r>
        <w:t>建设，不断优化农村路网结构，分批实施建制村公路单车道改双车道工程。实现建制村邮政和快递网点全覆盖。持续推进城乡基本公共服务均等化，优化教育、医疗、文化等公共资源配置。全面完成农村饮水提质增效工程，实施新一轮农村电网升级改造，积极推进农村公共充电设施建设。</w:t>
      </w:r>
    </w:p>
    <w:p>
      <w:pPr>
        <w:overflowPunct w:val="0"/>
        <w:spacing w:line="600" w:lineRule="exact"/>
        <w:ind w:firstLine="643"/>
      </w:pPr>
      <w:r>
        <w:rPr>
          <w:b/>
          <w:bCs/>
        </w:rPr>
        <w:t>建设生态宜居乡村。</w:t>
      </w:r>
      <w:r>
        <w:t>深入实施农村人居环境整治提升五年行动，实行严格的耕地保护、水资源管理制度，严守生态红线。强化农业面源污染防治，强化乡村产业准入管理和底线约束。深化农村人居环境综合整治，全域推进农村</w:t>
      </w:r>
      <w:r>
        <w:rPr>
          <w:rFonts w:hint="eastAsia"/>
        </w:rPr>
        <w:t>改</w:t>
      </w:r>
      <w:r>
        <w:t>厕、污水</w:t>
      </w:r>
      <w:r>
        <w:rPr>
          <w:rFonts w:hint="eastAsia"/>
        </w:rPr>
        <w:t>治</w:t>
      </w:r>
      <w:r>
        <w:t>理、生活垃圾处理，系统实施农村生态环境综合治理。统筹结合民风民俗、自然风光、田园风韵，推进农房管控和乡村风貌提升，保护传统村落和乡村风貌，连线连片推进美丽乡村建设，建设一批富有岭南特色的精美农村。到2025年</w:t>
      </w:r>
      <w:r>
        <w:rPr>
          <w:rFonts w:hint="eastAsia"/>
        </w:rPr>
        <w:t>全市80%以上</w:t>
      </w:r>
      <w:r>
        <w:t>行政村达到美丽宜居村标准。</w:t>
      </w:r>
    </w:p>
    <w:p>
      <w:pPr>
        <w:overflowPunct w:val="0"/>
        <w:spacing w:line="600" w:lineRule="exact"/>
        <w:ind w:firstLine="643"/>
      </w:pPr>
      <w:r>
        <w:rPr>
          <w:b/>
          <w:bCs/>
        </w:rPr>
        <w:t>强化乡村治理。</w:t>
      </w:r>
      <w:r>
        <w:t>突出加强农村基层党组织建设，突出政治功能，提升组织力，锻造更加坚强</w:t>
      </w:r>
      <w:r>
        <w:rPr>
          <w:rFonts w:hint="eastAsia"/>
        </w:rPr>
        <w:t>有力的</w:t>
      </w:r>
      <w:r>
        <w:t>战斗堡垒。建立健全以基层党组织为领导，村民自治组织和村务监督组织为基础、集体经济组织和农民合作组织为纽带、其他社会组织为补充的村级组织体系。不断完善以用为本、优进劣汰的镇村干部</w:t>
      </w:r>
      <w:r>
        <w:rPr>
          <w:rFonts w:hint="eastAsia"/>
        </w:rPr>
        <w:t>“</w:t>
      </w:r>
      <w:r>
        <w:t>大储备</w:t>
      </w:r>
      <w:r>
        <w:rPr>
          <w:rFonts w:hint="eastAsia"/>
        </w:rPr>
        <w:t>”</w:t>
      </w:r>
      <w:r>
        <w:t>机制，整体提升基层干部队伍活力与激情。继续实施基层党组织</w:t>
      </w:r>
      <w:r>
        <w:rPr>
          <w:rFonts w:hint="eastAsia"/>
        </w:rPr>
        <w:t>“</w:t>
      </w:r>
      <w:r>
        <w:t>头雁工程</w:t>
      </w:r>
      <w:r>
        <w:rPr>
          <w:rFonts w:hint="eastAsia"/>
        </w:rPr>
        <w:t>”</w:t>
      </w:r>
      <w:r>
        <w:t>，全面落实村</w:t>
      </w:r>
      <w:r>
        <w:rPr>
          <w:rFonts w:hint="eastAsia"/>
        </w:rPr>
        <w:t>“</w:t>
      </w:r>
      <w:r>
        <w:t>两委</w:t>
      </w:r>
      <w:r>
        <w:rPr>
          <w:rFonts w:hint="eastAsia"/>
        </w:rPr>
        <w:t>”</w:t>
      </w:r>
      <w:r>
        <w:t>班子成员县级联审机制，完善党员密切联系群众机制。大力弘扬和践行社会主义核心价值观，推动形成文明乡风、良好家风、淳朴民风。</w:t>
      </w:r>
    </w:p>
    <w:p>
      <w:pPr>
        <w:overflowPunct w:val="0"/>
        <w:spacing w:line="600" w:lineRule="exact"/>
        <w:ind w:firstLine="640"/>
      </w:pPr>
    </w:p>
    <w:p>
      <w:pPr>
        <w:pStyle w:val="5"/>
        <w:overflowPunct w:val="0"/>
        <w:spacing w:line="600" w:lineRule="exact"/>
      </w:pPr>
      <w:bookmarkStart w:id="209" w:name="_Toc10530"/>
      <w:bookmarkStart w:id="210" w:name="_Toc14346"/>
      <w:bookmarkStart w:id="211" w:name="_Toc28011"/>
      <w:bookmarkStart w:id="212" w:name="_Toc20701"/>
      <w:r>
        <w:rPr>
          <w:rFonts w:hint="eastAsia"/>
        </w:rPr>
        <w:t>第四节  巩固拓展脱贫攻坚成果</w:t>
      </w:r>
      <w:bookmarkEnd w:id="209"/>
      <w:bookmarkEnd w:id="210"/>
      <w:bookmarkEnd w:id="211"/>
      <w:bookmarkEnd w:id="212"/>
    </w:p>
    <w:p>
      <w:pPr>
        <w:overflowPunct w:val="0"/>
        <w:spacing w:line="600" w:lineRule="exact"/>
        <w:ind w:firstLine="643"/>
      </w:pPr>
      <w:r>
        <w:rPr>
          <w:b/>
          <w:bCs/>
        </w:rPr>
        <w:t>巩固拓展脱贫攻坚成果。</w:t>
      </w:r>
      <w:r>
        <w:t>探索建立有效衔接机制，对现有帮扶政策逐项分类优化调整，</w:t>
      </w:r>
      <w:r>
        <w:rPr>
          <w:rFonts w:hint="eastAsia"/>
        </w:rPr>
        <w:t>统筹推进财政投入、金融服务、土地支持、人才智力支持等政策</w:t>
      </w:r>
      <w:r>
        <w:t>有效</w:t>
      </w:r>
      <w:r>
        <w:rPr>
          <w:rFonts w:hint="eastAsia"/>
        </w:rPr>
        <w:t>衔接，</w:t>
      </w:r>
      <w:r>
        <w:t>推动实现由集中资源支持脱贫攻坚向全面推进乡村振兴平稳过渡。建立以县为帮扶对象主体、镇为帮扶主要平台的</w:t>
      </w:r>
      <w:r>
        <w:rPr>
          <w:rFonts w:hint="eastAsia"/>
        </w:rPr>
        <w:t>“</w:t>
      </w:r>
      <w:r>
        <w:t>驻镇帮扶</w:t>
      </w:r>
      <w:r>
        <w:rPr>
          <w:rFonts w:hint="eastAsia"/>
        </w:rPr>
        <w:t>”</w:t>
      </w:r>
      <w:r>
        <w:t>机制，推动帮扶对象由帮扶村向帮扶镇转变。优化选派优秀机关干部到镇村帮扶的机制，推动帮扶范围由点到面、帮扶内容由帮脱贫到促振兴转变。建立农村低收入人口和欠发达地区帮扶机制，健全对脱贫户的持续增收保障机制，对</w:t>
      </w:r>
      <w:r>
        <w:rPr>
          <w:rFonts w:hint="eastAsia"/>
        </w:rPr>
        <w:t>严重困难户</w:t>
      </w:r>
      <w:r>
        <w:t>落实兜底保障。健全防止返贫动态监测和帮扶机制，加强扶贫项目资金资产管理和监督。</w:t>
      </w:r>
    </w:p>
    <w:p>
      <w:pPr>
        <w:overflowPunct w:val="0"/>
        <w:spacing w:line="600" w:lineRule="exact"/>
        <w:ind w:firstLine="643"/>
      </w:pPr>
      <w:r>
        <w:rPr>
          <w:b/>
          <w:bCs/>
        </w:rPr>
        <w:t>增强脱贫地区内生发展</w:t>
      </w:r>
      <w:r>
        <w:rPr>
          <w:rFonts w:hint="eastAsia"/>
          <w:b/>
          <w:bCs/>
        </w:rPr>
        <w:t>动</w:t>
      </w:r>
      <w:r>
        <w:rPr>
          <w:b/>
          <w:bCs/>
        </w:rPr>
        <w:t>力。</w:t>
      </w:r>
      <w:r>
        <w:t>建立党员领导干部联系</w:t>
      </w:r>
      <w:r>
        <w:rPr>
          <w:rFonts w:hint="eastAsia"/>
        </w:rPr>
        <w:t>脱</w:t>
      </w:r>
      <w:r>
        <w:t>贫村、</w:t>
      </w:r>
      <w:r>
        <w:rPr>
          <w:rFonts w:hint="eastAsia"/>
        </w:rPr>
        <w:t>脱</w:t>
      </w:r>
      <w:r>
        <w:t>贫群众长效机制，发挥党员</w:t>
      </w:r>
      <w:r>
        <w:rPr>
          <w:rFonts w:hint="eastAsia"/>
        </w:rPr>
        <w:t>“</w:t>
      </w:r>
      <w:r>
        <w:t>双带</w:t>
      </w:r>
      <w:r>
        <w:rPr>
          <w:rFonts w:hint="eastAsia"/>
        </w:rPr>
        <w:t>”</w:t>
      </w:r>
      <w:r>
        <w:t>作用，构建</w:t>
      </w:r>
      <w:r>
        <w:rPr>
          <w:rFonts w:hint="eastAsia"/>
        </w:rPr>
        <w:t>“</w:t>
      </w:r>
      <w:r>
        <w:t>村为主、</w:t>
      </w:r>
      <w:r>
        <w:rPr>
          <w:rFonts w:hint="eastAsia"/>
        </w:rPr>
        <w:t>脱</w:t>
      </w:r>
      <w:r>
        <w:t>贫户为主、群众做主</w:t>
      </w:r>
      <w:r>
        <w:rPr>
          <w:rFonts w:hint="eastAsia"/>
        </w:rPr>
        <w:t>”</w:t>
      </w:r>
      <w:r>
        <w:t>的工作机制。加强劳动素质培养、职业技能培训，提高脱贫群众的生产技能</w:t>
      </w:r>
      <w:r>
        <w:rPr>
          <w:rFonts w:hint="eastAsia"/>
        </w:rPr>
        <w:t>，促进脱贫人口稳定就业</w:t>
      </w:r>
      <w:r>
        <w:t>。持续推进产业、消费、就业帮扶力度，推动开发式扶贫与保障性扶贫深度融合。优化东西</w:t>
      </w:r>
      <w:r>
        <w:rPr>
          <w:rFonts w:hint="eastAsia"/>
        </w:rPr>
        <w:t>部</w:t>
      </w:r>
      <w:r>
        <w:t>协作结对帮扶关系，助力协作地区脱贫攻坚巩固拓展，全面推进协作地区乡村振兴。</w:t>
      </w:r>
    </w:p>
    <w:p>
      <w:pPr>
        <w:overflowPunct w:val="0"/>
        <w:spacing w:line="600" w:lineRule="exact"/>
        <w:ind w:firstLine="640"/>
      </w:pPr>
      <w:bookmarkStart w:id="213" w:name="_Toc30697"/>
      <w:r>
        <w:br w:type="page"/>
      </w:r>
    </w:p>
    <w:p>
      <w:pPr>
        <w:pStyle w:val="4"/>
        <w:overflowPunct w:val="0"/>
        <w:rPr>
          <w:rFonts w:ascii="方正小标宋_GBK" w:eastAsia="方正小标宋_GBK"/>
          <w:sz w:val="36"/>
          <w:szCs w:val="36"/>
        </w:rPr>
      </w:pPr>
      <w:bookmarkStart w:id="214" w:name="_Toc17363"/>
      <w:bookmarkStart w:id="215" w:name="_Toc3133"/>
      <w:bookmarkStart w:id="216" w:name="_Toc14443"/>
      <w:bookmarkStart w:id="217" w:name="_Toc31215"/>
      <w:r>
        <w:rPr>
          <w:rFonts w:hint="eastAsia" w:ascii="方正小标宋_GBK" w:eastAsia="方正小标宋_GBK"/>
          <w:sz w:val="36"/>
          <w:szCs w:val="36"/>
        </w:rPr>
        <w:t>第十一章  深入推进生态文明建设 加快建设美丽惠州</w:t>
      </w:r>
      <w:bookmarkEnd w:id="213"/>
      <w:bookmarkEnd w:id="214"/>
      <w:bookmarkEnd w:id="215"/>
      <w:bookmarkEnd w:id="216"/>
      <w:bookmarkEnd w:id="217"/>
    </w:p>
    <w:p>
      <w:pPr>
        <w:overflowPunct w:val="0"/>
        <w:spacing w:line="600" w:lineRule="exact"/>
        <w:ind w:firstLine="640"/>
      </w:pPr>
    </w:p>
    <w:p>
      <w:pPr>
        <w:overflowPunct w:val="0"/>
        <w:spacing w:line="600" w:lineRule="exact"/>
        <w:ind w:firstLine="640"/>
      </w:pPr>
      <w:r>
        <w:t>践行绿水青山就是金山银山理念，巩固污染防治攻坚战成果，打好生态文明建设持久战，推进生产生活方式向绿色低碳化转型，建设天更蓝、山更绿、水更清、空气更清新的美丽惠州，提高国内一流城市的绿色底色和成色。</w:t>
      </w:r>
    </w:p>
    <w:p>
      <w:pPr>
        <w:overflowPunct w:val="0"/>
        <w:spacing w:line="600" w:lineRule="exact"/>
        <w:ind w:firstLine="640"/>
      </w:pPr>
    </w:p>
    <w:p>
      <w:pPr>
        <w:pStyle w:val="5"/>
        <w:overflowPunct w:val="0"/>
        <w:spacing w:line="600" w:lineRule="exact"/>
      </w:pPr>
      <w:bookmarkStart w:id="218" w:name="_Toc18"/>
      <w:bookmarkStart w:id="219" w:name="_Toc22095"/>
      <w:bookmarkStart w:id="220" w:name="_Toc4399"/>
      <w:bookmarkStart w:id="221" w:name="_Toc20487"/>
      <w:r>
        <w:t>第</w:t>
      </w:r>
      <w:r>
        <w:rPr>
          <w:rFonts w:hint="eastAsia"/>
        </w:rPr>
        <w:t>一</w:t>
      </w:r>
      <w:r>
        <w:t xml:space="preserve">节  </w:t>
      </w:r>
      <w:r>
        <w:rPr>
          <w:rFonts w:hint="eastAsia"/>
        </w:rPr>
        <w:t>持续全面改善环境质量</w:t>
      </w:r>
      <w:bookmarkEnd w:id="218"/>
      <w:bookmarkEnd w:id="219"/>
      <w:bookmarkEnd w:id="220"/>
      <w:bookmarkEnd w:id="221"/>
    </w:p>
    <w:p>
      <w:pPr>
        <w:overflowPunct w:val="0"/>
        <w:spacing w:line="600" w:lineRule="exact"/>
        <w:ind w:firstLine="643"/>
      </w:pPr>
      <w:r>
        <w:rPr>
          <w:b/>
          <w:bCs/>
        </w:rPr>
        <w:t>推动水环境质量持续改善。</w:t>
      </w:r>
      <w:r>
        <w:t>加强上下游、左右岸、干支流协同治理，加强水库水源安全保护，确保东江、西枝江、淡水河等秀水长清。系统整治全市七大水系劣Ⅴ类河涌支流，分类推进入河排污口规范化整治，统筹推进城乡全域黑臭水体整治修复。加快建设城镇污水处理设施，规范工业企业及生产经营单位排水管理，推进城镇污水管网全覆盖，提高污水处理设施运转效率。清理和规范入海排污口，推进船舶水污染物达标排放，推进海洋垃圾防治和清理。</w:t>
      </w:r>
    </w:p>
    <w:p>
      <w:pPr>
        <w:overflowPunct w:val="0"/>
        <w:spacing w:line="600" w:lineRule="exact"/>
        <w:ind w:firstLine="643"/>
      </w:pPr>
      <w:r>
        <w:rPr>
          <w:b/>
          <w:bCs/>
        </w:rPr>
        <w:t>加强大气环境精细化管理。</w:t>
      </w:r>
      <w:r>
        <w:t>构建以臭氧防控为核心的大气污染防控体系，强化多污染物协同控制和区域协同治理，强化污染天气应对工作。推进工业源深度治理，加强VOCs排放综合整治。加强移动源污染控制，开展超标排放柴油货车污染治理，推广国六排放标准燃气车辆和新能源汽车，巩固提升电动化</w:t>
      </w:r>
      <w:r>
        <w:rPr>
          <w:rFonts w:hint="eastAsia"/>
        </w:rPr>
        <w:t>水平</w:t>
      </w:r>
      <w:r>
        <w:t>，推行新能源非道路移动机械，鼓励船舶靠港使用岸电。加强城市建设施工工地扬尘管控，禁止违规露天烧烤行为，推行餐饮油烟在线</w:t>
      </w:r>
      <w:r>
        <w:rPr>
          <w:spacing w:val="4"/>
        </w:rPr>
        <w:t>监控和第三方治理。到2025年城市空气质量优良天数比率稳居</w:t>
      </w:r>
      <w:r>
        <w:t>全国重点监测城市前列。</w:t>
      </w:r>
    </w:p>
    <w:p>
      <w:pPr>
        <w:overflowPunct w:val="0"/>
        <w:spacing w:line="600" w:lineRule="exact"/>
        <w:ind w:firstLine="643"/>
      </w:pPr>
      <w:r>
        <w:rPr>
          <w:b/>
          <w:bCs/>
        </w:rPr>
        <w:t>实行土壤污染综合防控。</w:t>
      </w:r>
      <w:r>
        <w:t>强化土壤污染重点行业和单位监管，推动土壤污染防治纳入排污许可证管理和国土空间规划。建立农用地分类管理清单，加强</w:t>
      </w:r>
      <w:r>
        <w:rPr>
          <w:rFonts w:hint="eastAsia"/>
        </w:rPr>
        <w:t>对</w:t>
      </w:r>
      <w:r>
        <w:t>优先保护类农用地的保护，实行重金属污染监测预警，推进化肥农药减量化和有机绿色化，加强白色污染、危险废物、医疗废物及新污染物治理。以供港澳农产品种（养）基地为重点，加大土壤环境监测和风险排查。积极探索实施工业污染地块</w:t>
      </w:r>
      <w:r>
        <w:rPr>
          <w:rFonts w:hint="eastAsia"/>
        </w:rPr>
        <w:t>“</w:t>
      </w:r>
      <w:r>
        <w:t>环境修复+开发建设</w:t>
      </w:r>
      <w:r>
        <w:rPr>
          <w:rFonts w:hint="eastAsia"/>
        </w:rPr>
        <w:t>”</w:t>
      </w:r>
      <w:r>
        <w:t>模式。推动固体废物源头减量与循环利用，建立固体废物全链条监管体系。</w:t>
      </w:r>
    </w:p>
    <w:p>
      <w:pPr>
        <w:overflowPunct w:val="0"/>
        <w:spacing w:line="600" w:lineRule="exact"/>
        <w:ind w:firstLine="643"/>
      </w:pPr>
      <w:r>
        <w:rPr>
          <w:b/>
          <w:bCs/>
        </w:rPr>
        <w:t>深入推进垃圾分类和减量化、资源化。</w:t>
      </w:r>
      <w:r>
        <w:t>稳步推进生活垃圾分类，加快建立分类投放、分类收集、分类运输、分类处理的生活垃圾处理系统。学习借鉴先进城市经验，加大垃圾分类全民推广力度，规范生活垃圾全过程管理。鼓励生活垃圾减量及综合利用，完善一次性办公用品源头减量措施，推行旅游、住宿、餐饮等行业不主动提供一次性日用品。推进城市建筑垃圾受纳场布点规划与建设。建立</w:t>
      </w:r>
      <w:r>
        <w:rPr>
          <w:rFonts w:hint="eastAsia"/>
        </w:rPr>
        <w:t>完善</w:t>
      </w:r>
      <w:r>
        <w:t>一般工业固废</w:t>
      </w:r>
      <w:r>
        <w:rPr>
          <w:rFonts w:hint="eastAsia"/>
        </w:rPr>
        <w:t>、</w:t>
      </w:r>
      <w:r>
        <w:t>建筑装修垃圾</w:t>
      </w:r>
      <w:r>
        <w:rPr>
          <w:color w:val="000000"/>
        </w:rPr>
        <w:t>收集转运处置体系</w:t>
      </w:r>
      <w:r>
        <w:t>，禁止一般工业固废和建筑装修垃圾混入生活垃圾。深入开展</w:t>
      </w:r>
      <w:r>
        <w:rPr>
          <w:rFonts w:hint="eastAsia"/>
        </w:rPr>
        <w:t>“</w:t>
      </w:r>
      <w:r>
        <w:t>光盘行动</w:t>
      </w:r>
      <w:r>
        <w:rPr>
          <w:rFonts w:hint="eastAsia"/>
        </w:rPr>
        <w:t>”</w:t>
      </w:r>
      <w:r>
        <w:t>，将制止餐饮浪费纳入市民公约，营造</w:t>
      </w:r>
      <w:r>
        <w:rPr>
          <w:rFonts w:hint="eastAsia"/>
        </w:rPr>
        <w:t>“</w:t>
      </w:r>
      <w:r>
        <w:t>厉行节约、反对浪费</w:t>
      </w:r>
      <w:r>
        <w:rPr>
          <w:rFonts w:hint="eastAsia"/>
        </w:rPr>
        <w:t>”</w:t>
      </w:r>
      <w:r>
        <w:t>氛围。</w:t>
      </w:r>
    </w:p>
    <w:p>
      <w:pPr>
        <w:overflowPunct w:val="0"/>
        <w:spacing w:line="600" w:lineRule="exact"/>
        <w:ind w:firstLine="640"/>
      </w:pPr>
    </w:p>
    <w:p>
      <w:pPr>
        <w:pStyle w:val="5"/>
        <w:overflowPunct w:val="0"/>
        <w:spacing w:line="600" w:lineRule="exact"/>
      </w:pPr>
      <w:bookmarkStart w:id="222" w:name="_Toc3596"/>
      <w:bookmarkStart w:id="223" w:name="_Toc1116"/>
      <w:bookmarkStart w:id="224" w:name="_Toc8094"/>
      <w:bookmarkStart w:id="225" w:name="_Toc8297"/>
      <w:r>
        <w:t>第</w:t>
      </w:r>
      <w:r>
        <w:rPr>
          <w:rFonts w:hint="eastAsia"/>
        </w:rPr>
        <w:t>二</w:t>
      </w:r>
      <w:r>
        <w:t xml:space="preserve">节  </w:t>
      </w:r>
      <w:r>
        <w:rPr>
          <w:rFonts w:hint="eastAsia"/>
        </w:rPr>
        <w:t>显著提升生态系统质量</w:t>
      </w:r>
      <w:bookmarkEnd w:id="222"/>
      <w:bookmarkEnd w:id="223"/>
      <w:bookmarkEnd w:id="224"/>
      <w:bookmarkEnd w:id="225"/>
    </w:p>
    <w:p>
      <w:pPr>
        <w:overflowPunct w:val="0"/>
        <w:spacing w:line="600" w:lineRule="exact"/>
        <w:ind w:firstLine="643"/>
      </w:pPr>
      <w:r>
        <w:rPr>
          <w:b/>
          <w:bCs/>
        </w:rPr>
        <w:t>统筹生态保护修复和建设。</w:t>
      </w:r>
      <w:r>
        <w:t>统筹推进山水林田湖海生态保护修复，力争实现</w:t>
      </w:r>
      <w:r>
        <w:rPr>
          <w:rFonts w:hint="eastAsia"/>
        </w:rPr>
        <w:t>“</w:t>
      </w:r>
      <w:r>
        <w:t>提田、整地、青山、绿水、扩湿、净海</w:t>
      </w:r>
      <w:r>
        <w:rPr>
          <w:rFonts w:hint="eastAsia"/>
        </w:rPr>
        <w:t>”</w:t>
      </w:r>
      <w:r>
        <w:t>目标</w:t>
      </w:r>
      <w:r>
        <w:rPr>
          <w:spacing w:val="4"/>
        </w:rPr>
        <w:t>任务。全面推行林长制，科学推进水土流失等综合治理，加强森林抚育与改造、有害生物治理，推进生态公益林提质增效。加强惠州北部山林生态屏障建设，到2025年全市森林覆盖率达</w:t>
      </w:r>
      <w:r>
        <w:t>62.01%。在惠东、龙门开展全域土地综合整治试点，复制推广土地综合整治经验。全面推进惠州中部流域综合治理，加强湿</w:t>
      </w:r>
      <w:r>
        <w:rPr>
          <w:spacing w:val="4"/>
        </w:rPr>
        <w:t>地保护建设，以治水为主线建设美丽碧道，到2025年建成245</w:t>
      </w:r>
      <w:r>
        <w:t>公里碧道。</w:t>
      </w:r>
    </w:p>
    <w:p>
      <w:pPr>
        <w:overflowPunct w:val="0"/>
        <w:spacing w:line="600" w:lineRule="exact"/>
        <w:ind w:firstLine="658"/>
        <w:rPr>
          <w:spacing w:val="4"/>
        </w:rPr>
      </w:pPr>
      <w:r>
        <w:rPr>
          <w:b/>
          <w:bCs/>
          <w:spacing w:val="4"/>
        </w:rPr>
        <w:t>建设美丽海湾。</w:t>
      </w:r>
      <w:r>
        <w:rPr>
          <w:spacing w:val="4"/>
        </w:rPr>
        <w:t>开展海岸带、海岛生态整治修复，推动范和港、考洲洋美丽海湾建设及重点海湾整治，加强保护红树林、珊瑚礁、海草床、滨海湿地等重要敏感生态系统，提升海岸生态品质。分类分段精细化管控海岸线，保护性开发小桂湾、巽寮湾、双月湾等重点旅游资源，推动环考洲洋旅游整体保护和开发。加强近岸海域海岛生态保护与修复。全面实施</w:t>
      </w:r>
      <w:r>
        <w:rPr>
          <w:rFonts w:hint="eastAsia"/>
          <w:spacing w:val="4"/>
        </w:rPr>
        <w:t>“</w:t>
      </w:r>
      <w:r>
        <w:rPr>
          <w:spacing w:val="4"/>
        </w:rPr>
        <w:t>湾长制</w:t>
      </w:r>
      <w:r>
        <w:rPr>
          <w:rFonts w:hint="eastAsia"/>
          <w:spacing w:val="4"/>
        </w:rPr>
        <w:t>”</w:t>
      </w:r>
      <w:r>
        <w:rPr>
          <w:spacing w:val="4"/>
        </w:rPr>
        <w:t>。</w:t>
      </w:r>
    </w:p>
    <w:p>
      <w:pPr>
        <w:overflowPunct w:val="0"/>
        <w:spacing w:line="600" w:lineRule="exact"/>
        <w:ind w:firstLine="643" w:firstLineChars="0"/>
      </w:pPr>
      <w:r>
        <w:rPr>
          <w:b/>
          <w:bCs/>
        </w:rPr>
        <w:t>加强生物多样性保护。</w:t>
      </w:r>
      <w:r>
        <w:t>建立完善自然保护地体系，加强对具代表性自然生态系统区域、珍稀濒危动物栖息地、极小种群植物原生地等典型区域的自然保护地建设。开展生物物种调查与评估，</w:t>
      </w:r>
      <w:r>
        <w:rPr>
          <w:rFonts w:hint="eastAsia"/>
        </w:rPr>
        <w:t>落实国家、省</w:t>
      </w:r>
      <w:r>
        <w:t>重点保护野生动植物名录。加强陆源野生动物疫源疫病监测防控，防范陆生野生动物疫病传播和扩散。加强遗传资源保</w:t>
      </w:r>
      <w:r>
        <w:rPr>
          <w:spacing w:val="-2"/>
        </w:rPr>
        <w:t>护，完成生物种质资源收集入库。</w:t>
      </w:r>
      <w:r>
        <w:rPr>
          <w:rFonts w:hint="eastAsia"/>
          <w:spacing w:val="-2"/>
        </w:rPr>
        <w:t>加强珍稀濒危动植物保护，严惩非法捕杀、交易、食用野生动物行为。</w:t>
      </w:r>
      <w:r>
        <w:rPr>
          <w:spacing w:val="-2"/>
        </w:rPr>
        <w:t>严防外来物种入侵。到2025年</w:t>
      </w:r>
      <w:r>
        <w:t>生物多样性的丧失与流失得到基本遏制。</w:t>
      </w:r>
    </w:p>
    <w:p>
      <w:pPr>
        <w:overflowPunct w:val="0"/>
        <w:spacing w:line="600" w:lineRule="exact"/>
        <w:ind w:firstLine="640"/>
      </w:pPr>
    </w:p>
    <w:p>
      <w:pPr>
        <w:pStyle w:val="5"/>
        <w:overflowPunct w:val="0"/>
        <w:spacing w:line="600" w:lineRule="exact"/>
      </w:pPr>
      <w:bookmarkStart w:id="226" w:name="_Toc9386"/>
      <w:bookmarkStart w:id="227" w:name="_Toc2075"/>
      <w:bookmarkStart w:id="228" w:name="_Toc9361"/>
      <w:bookmarkStart w:id="229" w:name="_Toc1012"/>
      <w:r>
        <w:t>第</w:t>
      </w:r>
      <w:r>
        <w:rPr>
          <w:rFonts w:hint="eastAsia"/>
        </w:rPr>
        <w:t>三</w:t>
      </w:r>
      <w:r>
        <w:t>节  推进绿色</w:t>
      </w:r>
      <w:r>
        <w:rPr>
          <w:rFonts w:hint="eastAsia"/>
        </w:rPr>
        <w:t>低碳循环</w:t>
      </w:r>
      <w:r>
        <w:t>发展</w:t>
      </w:r>
      <w:bookmarkEnd w:id="226"/>
      <w:bookmarkEnd w:id="227"/>
      <w:bookmarkEnd w:id="228"/>
      <w:bookmarkEnd w:id="229"/>
    </w:p>
    <w:p>
      <w:pPr>
        <w:overflowPunct w:val="0"/>
        <w:spacing w:line="600" w:lineRule="exact"/>
        <w:ind w:firstLine="643"/>
      </w:pPr>
      <w:r>
        <w:rPr>
          <w:b/>
          <w:bCs/>
        </w:rPr>
        <w:t>落实能源消费强度与消费总量</w:t>
      </w:r>
      <w:r>
        <w:rPr>
          <w:rFonts w:hint="eastAsia"/>
          <w:b/>
          <w:bCs/>
        </w:rPr>
        <w:t>“</w:t>
      </w:r>
      <w:r>
        <w:rPr>
          <w:b/>
          <w:bCs/>
        </w:rPr>
        <w:t>双控</w:t>
      </w:r>
      <w:r>
        <w:rPr>
          <w:rFonts w:hint="eastAsia"/>
          <w:b/>
          <w:bCs/>
        </w:rPr>
        <w:t>”</w:t>
      </w:r>
      <w:r>
        <w:rPr>
          <w:b/>
          <w:bCs/>
        </w:rPr>
        <w:t>目标。</w:t>
      </w:r>
      <w:r>
        <w:rPr>
          <w:rFonts w:hint="eastAsia"/>
        </w:rPr>
        <w:t>扎实做好碳达峰、碳中和各项工作，</w:t>
      </w:r>
      <w:r>
        <w:t>完善能耗</w:t>
      </w:r>
      <w:r>
        <w:rPr>
          <w:rFonts w:hint="eastAsia"/>
        </w:rPr>
        <w:t>“</w:t>
      </w:r>
      <w:r>
        <w:t>双控</w:t>
      </w:r>
      <w:r>
        <w:rPr>
          <w:rFonts w:hint="eastAsia"/>
        </w:rPr>
        <w:t>”</w:t>
      </w:r>
      <w:r>
        <w:t>指标分配和管理，探索开展用能预算管理。积极争取国家和省对惠州合理的降耗空间，完善清洁能源抵扣机制，对国家和省布局</w:t>
      </w:r>
      <w:r>
        <w:rPr>
          <w:rFonts w:hint="eastAsia"/>
        </w:rPr>
        <w:t>惠州</w:t>
      </w:r>
      <w:r>
        <w:t>的重大项目能耗予以单列考核。从严控制</w:t>
      </w:r>
      <w:r>
        <w:rPr>
          <w:rFonts w:hint="eastAsia"/>
        </w:rPr>
        <w:t>新建</w:t>
      </w:r>
      <w:r>
        <w:t>高耗能项目，严格实施投资项目节能审查制度。狠抓节能降耗，提高非化石能源比重，加快天然气热电联产项目建设，开展煤炭消费减量管理。全面推进工业、建筑、交通和公共机构等重点领域节能，推广应用节能环保技术和设备。全面加强节能监察，强化重点高耗能企业节能监管，推进节能技术改造，加快淘汰落后工艺和关闭高耗能、高污染企业。</w:t>
      </w:r>
    </w:p>
    <w:p>
      <w:pPr>
        <w:overflowPunct w:val="0"/>
        <w:spacing w:line="600" w:lineRule="exact"/>
        <w:ind w:firstLine="643"/>
      </w:pPr>
      <w:r>
        <w:rPr>
          <w:b/>
          <w:bCs/>
        </w:rPr>
        <w:t>推行绿色生活方式。</w:t>
      </w:r>
      <w:r>
        <w:t>实施全民节能行动，倡导简约适度、绿色低碳的生活方式。适当降低公共交通出行成本，提高公交出行舒适感和便捷度，改善慢行片区步行设施、自行车道网络和风雨连廊系统，推进公交网、慢行网等融合发展，持续扩大新能源汽车推广应用。开展节约型机关、绿色家庭、绿色学校、绿色社区、绿色建筑等创建行动。倡导绿色消费，全面宣传节能新设备、新技术、新产品，反对过度包装，加快推进快递包装绿色转型，引导全社会形成绿色消费习惯。</w:t>
      </w:r>
    </w:p>
    <w:p>
      <w:pPr>
        <w:overflowPunct w:val="0"/>
        <w:spacing w:line="600" w:lineRule="exact"/>
        <w:ind w:firstLine="643"/>
      </w:pPr>
      <w:r>
        <w:rPr>
          <w:b/>
          <w:bCs/>
        </w:rPr>
        <w:t>发展绿色循环经济。</w:t>
      </w:r>
      <w:r>
        <w:t>积极推行源头减量、清洁生产、资源循环、末端治理的绿色生产方式。推动工业园区循环化改造，开展绿色设计示范、绿色供应链示范和绿色工厂创建，加强工业固体废物综合利用。</w:t>
      </w:r>
      <w:r>
        <w:rPr>
          <w:rFonts w:hint="eastAsia"/>
        </w:rPr>
        <w:t>大力发展装配式建筑，加快推动智能制造与建筑工业化协调发展。</w:t>
      </w:r>
      <w:r>
        <w:t>大力发展绿色种养殖，加强农林废弃物资源化利用。加快构建废旧物资循环化利用体系，推进垃圾分类处理与再生资源利用</w:t>
      </w:r>
      <w:r>
        <w:rPr>
          <w:rFonts w:hint="eastAsia"/>
        </w:rPr>
        <w:t>“</w:t>
      </w:r>
      <w:r>
        <w:t>两网融合</w:t>
      </w:r>
      <w:r>
        <w:rPr>
          <w:rFonts w:hint="eastAsia"/>
        </w:rPr>
        <w:t>”</w:t>
      </w:r>
      <w:r>
        <w:t>，促进生产系统和生活系统循环链接。</w:t>
      </w:r>
    </w:p>
    <w:p>
      <w:pPr>
        <w:overflowPunct w:val="0"/>
        <w:spacing w:line="600" w:lineRule="exact"/>
        <w:ind w:firstLine="640"/>
      </w:pPr>
    </w:p>
    <w:p>
      <w:pPr>
        <w:pStyle w:val="5"/>
        <w:overflowPunct w:val="0"/>
        <w:spacing w:line="600" w:lineRule="exact"/>
      </w:pPr>
      <w:bookmarkStart w:id="230" w:name="_Toc7256"/>
      <w:bookmarkStart w:id="231" w:name="_Toc27991"/>
      <w:bookmarkStart w:id="232" w:name="_Toc12350"/>
      <w:bookmarkStart w:id="233" w:name="_Toc4383"/>
      <w:r>
        <w:t>第</w:t>
      </w:r>
      <w:r>
        <w:rPr>
          <w:rFonts w:hint="eastAsia"/>
        </w:rPr>
        <w:t>四</w:t>
      </w:r>
      <w:r>
        <w:t xml:space="preserve">节  </w:t>
      </w:r>
      <w:r>
        <w:rPr>
          <w:rFonts w:hint="eastAsia"/>
        </w:rPr>
        <w:t>提升生态治理能力和水平</w:t>
      </w:r>
      <w:bookmarkEnd w:id="230"/>
      <w:bookmarkEnd w:id="231"/>
      <w:bookmarkEnd w:id="232"/>
      <w:bookmarkEnd w:id="233"/>
    </w:p>
    <w:p>
      <w:pPr>
        <w:overflowPunct w:val="0"/>
        <w:spacing w:line="600" w:lineRule="exact"/>
        <w:ind w:firstLine="643"/>
      </w:pPr>
      <w:r>
        <w:rPr>
          <w:b/>
          <w:bCs/>
        </w:rPr>
        <w:t>推进现代环境治理体系建设。</w:t>
      </w:r>
      <w:r>
        <w:t>建立健全高质量、高标准环境治理的领导责任体系、企业责任体系、全民行动体系、监管体系、市场体系、信用体系、法律法规体系，明确落实构建现代环境治理体系重点举措清单，综合运用法律、经济、行政、技术等手段，不断提高环境治理效能。充分发挥河湖长制作用，建立完善生态监管体系。积极开展区域环境共治。</w:t>
      </w:r>
    </w:p>
    <w:p>
      <w:pPr>
        <w:overflowPunct w:val="0"/>
        <w:spacing w:line="600" w:lineRule="exact"/>
        <w:ind w:firstLine="643"/>
        <w:rPr>
          <w:b/>
          <w:bCs/>
        </w:rPr>
      </w:pPr>
      <w:r>
        <w:rPr>
          <w:b/>
          <w:bCs/>
        </w:rPr>
        <w:t>持续深化供排污一体化改革。</w:t>
      </w:r>
      <w:r>
        <w:t>推动全市域供排污等集中统一规划建设运营管理，实现全市域全流域水环境一体化治理。逐步建立与供排污一体化相适应的标准体系。建立动态价费调整机制，探索创新排水设施建管养</w:t>
      </w:r>
      <w:r>
        <w:rPr>
          <w:rFonts w:hint="eastAsia"/>
        </w:rPr>
        <w:t>护</w:t>
      </w:r>
      <w:r>
        <w:t>良性运营模式。推进智慧水务建设，</w:t>
      </w:r>
      <w:r>
        <w:rPr>
          <w:rFonts w:hint="eastAsia"/>
        </w:rPr>
        <w:t>加快构建</w:t>
      </w:r>
      <w:r>
        <w:t>智能化管理与服务体系。</w:t>
      </w:r>
    </w:p>
    <w:p>
      <w:pPr>
        <w:overflowPunct w:val="0"/>
        <w:spacing w:line="600" w:lineRule="exact"/>
        <w:ind w:firstLine="643"/>
        <w:rPr>
          <w:b/>
          <w:bCs/>
        </w:rPr>
      </w:pPr>
      <w:bookmarkStart w:id="234" w:name="_Toc23150"/>
      <w:r>
        <w:rPr>
          <w:b/>
          <w:bCs/>
        </w:rPr>
        <w:br w:type="page"/>
      </w:r>
    </w:p>
    <w:p>
      <w:pPr>
        <w:pStyle w:val="4"/>
        <w:overflowPunct w:val="0"/>
        <w:rPr>
          <w:rFonts w:ascii="方正小标宋_GBK" w:eastAsia="方正小标宋_GBK"/>
          <w:sz w:val="36"/>
          <w:szCs w:val="36"/>
        </w:rPr>
      </w:pPr>
      <w:bookmarkStart w:id="235" w:name="_Toc1748"/>
      <w:bookmarkStart w:id="236" w:name="_Toc23999"/>
      <w:bookmarkStart w:id="237" w:name="_Toc11705"/>
      <w:bookmarkStart w:id="238" w:name="_Toc29439"/>
      <w:r>
        <w:rPr>
          <w:rFonts w:hint="eastAsia" w:ascii="方正小标宋_GBK" w:eastAsia="方正小标宋_GBK"/>
          <w:sz w:val="36"/>
          <w:szCs w:val="36"/>
        </w:rPr>
        <w:t xml:space="preserve">第十二章  </w:t>
      </w:r>
      <w:bookmarkEnd w:id="234"/>
      <w:r>
        <w:rPr>
          <w:rFonts w:hint="eastAsia" w:ascii="方正小标宋_GBK" w:eastAsia="方正小标宋_GBK"/>
          <w:sz w:val="36"/>
          <w:szCs w:val="36"/>
        </w:rPr>
        <w:t>打造一流生活品质 建设更加幸福惠州</w:t>
      </w:r>
      <w:bookmarkEnd w:id="235"/>
      <w:bookmarkEnd w:id="236"/>
      <w:bookmarkEnd w:id="237"/>
      <w:bookmarkEnd w:id="238"/>
    </w:p>
    <w:p>
      <w:pPr>
        <w:overflowPunct w:val="0"/>
        <w:spacing w:line="600" w:lineRule="exact"/>
        <w:ind w:firstLine="640"/>
      </w:pPr>
    </w:p>
    <w:p>
      <w:pPr>
        <w:overflowPunct w:val="0"/>
        <w:spacing w:line="600" w:lineRule="exact"/>
        <w:ind w:firstLine="640"/>
      </w:pPr>
      <w:r>
        <w:t>坚持以人民为中心的发展思想，尽力而为、量力而行，用心用情用</w:t>
      </w:r>
      <w:r>
        <w:rPr>
          <w:rFonts w:hint="eastAsia"/>
        </w:rPr>
        <w:t>力</w:t>
      </w:r>
      <w:r>
        <w:t>办好民生实事，健全基本公共服务体系，不断满足人民日益增长的美好生活需要，让全体市民在现代化进程中过上更加幸福、更加自豪、更加愉悦的美好生活。</w:t>
      </w:r>
    </w:p>
    <w:p>
      <w:pPr>
        <w:overflowPunct w:val="0"/>
        <w:spacing w:line="600" w:lineRule="exact"/>
        <w:ind w:firstLine="640"/>
      </w:pPr>
    </w:p>
    <w:p>
      <w:pPr>
        <w:pStyle w:val="5"/>
        <w:overflowPunct w:val="0"/>
        <w:spacing w:line="600" w:lineRule="exact"/>
      </w:pPr>
      <w:bookmarkStart w:id="239" w:name="_Toc22777"/>
      <w:bookmarkStart w:id="240" w:name="_Toc30624"/>
      <w:bookmarkStart w:id="241" w:name="_Toc209"/>
      <w:bookmarkStart w:id="242" w:name="_Toc28435"/>
      <w:r>
        <w:t>第一节  提高居民收入水平和就业质量</w:t>
      </w:r>
      <w:bookmarkEnd w:id="239"/>
      <w:bookmarkEnd w:id="240"/>
      <w:bookmarkEnd w:id="241"/>
      <w:bookmarkEnd w:id="242"/>
    </w:p>
    <w:p>
      <w:pPr>
        <w:overflowPunct w:val="0"/>
        <w:spacing w:line="600" w:lineRule="exact"/>
        <w:ind w:firstLine="643"/>
      </w:pPr>
      <w:r>
        <w:rPr>
          <w:b/>
          <w:bCs/>
        </w:rPr>
        <w:t>提高人民收入水平。</w:t>
      </w:r>
      <w:r>
        <w:t>坚持按劳分配为主体、多种分配方式并存，提高劳动报酬特别是一线劳动报酬在初次分配中的比重，优化二次分配结构。完善工资制度，健全工资合理增长机制和最低工资标准动态调整机制。健全劳动、资本、土地、知识、技术、管理、数据等生产要素由市场评价贡献、按贡献决定报酬的机制。大力发展</w:t>
      </w:r>
      <w:r>
        <w:rPr>
          <w:rFonts w:hint="eastAsia"/>
        </w:rPr>
        <w:t>“</w:t>
      </w:r>
      <w:r>
        <w:t>农业+</w:t>
      </w:r>
      <w:r>
        <w:rPr>
          <w:rFonts w:hint="eastAsia"/>
        </w:rPr>
        <w:t>”</w:t>
      </w:r>
      <w:r>
        <w:t>，多渠道增加农民收入。加大税收、社保、转移支付等调节力度和精准性，加快发展慈善事业等社会公益事业。多措并举促进城乡居民增收，稳步增加工资性收入、转移性收入、经营性收入，多渠道增加城乡居民财产性收入。探索通过土地、资本等要素使用权、收益权增加中低收入群体要素收入。规范收入分配秩序，着力提高低收入者收入，合理调节过高收入，清理规范隐性收入，取缔非法收入，扩大中等收入者比重，努力缩小城乡、区域、</w:t>
      </w:r>
      <w:r>
        <w:rPr>
          <w:rFonts w:hint="eastAsia"/>
        </w:rPr>
        <w:t>群体间</w:t>
      </w:r>
      <w:r>
        <w:t>收入分配差距，逐步形成橄榄型分配格局。</w:t>
      </w:r>
    </w:p>
    <w:p>
      <w:pPr>
        <w:overflowPunct w:val="0"/>
        <w:spacing w:line="600" w:lineRule="exact"/>
        <w:ind w:firstLine="643"/>
      </w:pPr>
      <w:r>
        <w:rPr>
          <w:b/>
          <w:bCs/>
        </w:rPr>
        <w:t>促进更充分更高质量就业。</w:t>
      </w:r>
      <w:r>
        <w:t>全面实施就业优先战略，着力稳定和扩大就业规模，不断提升就业质量。实施更加积极的就业政策，加强财税、金融、产业、贸易等经济政策与就业政策的配套衔接，完善就业公共服务体系。坚持经济发展就业导向，增强产业吸纳就业能力，鼓励创业带动就业，发挥民营经济吸纳就业主渠道作用，挖掘公共服务领域吸纳就业潜力，大力发展数字服务业等新型就业模式，支持扩大灵活就业，扶持农村劳动力就近就地就业。健全覆盖城乡的公共就业创业服务体系，完善对重点人群创业分类政策扶持，加快实施</w:t>
      </w:r>
      <w:r>
        <w:rPr>
          <w:rFonts w:hint="eastAsia"/>
        </w:rPr>
        <w:t>“</w:t>
      </w:r>
      <w:r>
        <w:t>广东技工</w:t>
      </w:r>
      <w:r>
        <w:rPr>
          <w:rFonts w:hint="eastAsia"/>
        </w:rPr>
        <w:t>”“</w:t>
      </w:r>
      <w:r>
        <w:t>粤菜师傅</w:t>
      </w:r>
      <w:r>
        <w:rPr>
          <w:rFonts w:hint="eastAsia"/>
        </w:rPr>
        <w:t>”“</w:t>
      </w:r>
      <w:r>
        <w:t>南粤家政</w:t>
      </w:r>
      <w:r>
        <w:rPr>
          <w:rFonts w:hint="eastAsia"/>
        </w:rPr>
        <w:t>”</w:t>
      </w:r>
      <w:r>
        <w:t>培训工程，健全就业困难人员托底帮扶机制。完善多渠道灵活就业的保障制度。健全就业需求调查和失业监测预警机制，强化规模性失业风险的防范和应对。</w:t>
      </w:r>
      <w:r>
        <w:rPr>
          <w:rFonts w:hint="eastAsia"/>
        </w:rPr>
        <w:t>加强对企业实行劳动合同制度的监督、指导和服务，构建和谐劳动关系。“</w:t>
      </w:r>
      <w:r>
        <w:t>十四五</w:t>
      </w:r>
      <w:r>
        <w:rPr>
          <w:rFonts w:hint="eastAsia"/>
        </w:rPr>
        <w:t>”</w:t>
      </w:r>
      <w:r>
        <w:t>期间全市城镇新增就业30万人，城镇调查失业率</w:t>
      </w:r>
      <w:r>
        <w:rPr>
          <w:rFonts w:hint="eastAsia"/>
        </w:rPr>
        <w:t>控制在</w:t>
      </w:r>
      <w:r>
        <w:t>5.5%以内。</w:t>
      </w:r>
    </w:p>
    <w:p>
      <w:pPr>
        <w:overflowPunct w:val="0"/>
        <w:spacing w:line="600" w:lineRule="exact"/>
        <w:ind w:firstLine="640"/>
      </w:pPr>
    </w:p>
    <w:p>
      <w:pPr>
        <w:pStyle w:val="5"/>
        <w:overflowPunct w:val="0"/>
        <w:spacing w:line="600" w:lineRule="exact"/>
      </w:pPr>
      <w:bookmarkStart w:id="243" w:name="_Toc7678"/>
      <w:bookmarkStart w:id="244" w:name="_Toc3951"/>
      <w:bookmarkStart w:id="245" w:name="_Toc10551"/>
      <w:bookmarkStart w:id="246" w:name="_Toc7317"/>
      <w:bookmarkStart w:id="247" w:name="_Toc18010"/>
      <w:r>
        <w:t xml:space="preserve">第二节  </w:t>
      </w:r>
      <w:bookmarkEnd w:id="243"/>
      <w:r>
        <w:rPr>
          <w:rFonts w:hint="eastAsia"/>
        </w:rPr>
        <w:t>建设高质量教育体系</w:t>
      </w:r>
      <w:bookmarkEnd w:id="244"/>
      <w:bookmarkEnd w:id="245"/>
      <w:bookmarkEnd w:id="246"/>
      <w:bookmarkEnd w:id="247"/>
    </w:p>
    <w:p>
      <w:pPr>
        <w:overflowPunct w:val="0"/>
        <w:spacing w:line="600" w:lineRule="exact"/>
        <w:ind w:firstLine="643"/>
      </w:pPr>
      <w:r>
        <w:rPr>
          <w:b/>
          <w:bCs/>
        </w:rPr>
        <w:t>推动学前教育普及普惠优质安全发展。</w:t>
      </w:r>
      <w:r>
        <w:t>适应城镇化和常住人口增加趋势，推进城镇小区配套幼儿园建设和移交工作，支持鼓励发展普惠性民办幼儿园，持续增加资源供给，着力构建以普惠性资源为主体的办园体系，稳步扩大公办性质幼儿园、普惠性民办幼儿园规模，增加优质幼儿园学位供给。推进集团办园，建设一批名园长工作室。逐步探索建设托幼服务一体化新模式。开展学前教育普及普惠督导评估。到2025年全市毛入园率达到98.5%，普惠性幼儿园覆盖率保持80%以上。</w:t>
      </w:r>
    </w:p>
    <w:p>
      <w:pPr>
        <w:overflowPunct w:val="0"/>
        <w:spacing w:line="600" w:lineRule="exact"/>
        <w:ind w:firstLine="643"/>
      </w:pPr>
      <w:r>
        <w:rPr>
          <w:b/>
          <w:bCs/>
        </w:rPr>
        <w:t>推动城乡义务教育优质均衡一体化发展。</w:t>
      </w:r>
      <w:r>
        <w:t>创建全国义务教育优质均衡发展县（区），科学调整中小学布局，适度超前规划建设义务教育标准化学校。加快城镇新建居住区配套标准化学校建设，新建或改扩建老城区配套学校，保障适龄少年儿童就近入学，消除城镇中小学</w:t>
      </w:r>
      <w:r>
        <w:rPr>
          <w:rFonts w:hint="eastAsia"/>
        </w:rPr>
        <w:t>“</w:t>
      </w:r>
      <w:r>
        <w:t>大班额</w:t>
      </w:r>
      <w:r>
        <w:rPr>
          <w:rFonts w:hint="eastAsia"/>
        </w:rPr>
        <w:t>”</w:t>
      </w:r>
      <w:r>
        <w:t>现象。大力推进集团化办学</w:t>
      </w:r>
      <w:r>
        <w:rPr>
          <w:rFonts w:hint="eastAsia"/>
        </w:rPr>
        <w:t>、深化课程和课堂教学改革，着力提升教学质量</w:t>
      </w:r>
      <w:r>
        <w:t>。</w:t>
      </w:r>
      <w:r>
        <w:rPr>
          <w:rFonts w:hint="eastAsia"/>
        </w:rPr>
        <w:t>开展县域义务教育优质均衡发展督导评估。</w:t>
      </w:r>
      <w:r>
        <w:t>改善薄弱学校办学条件，新建和改扩建一批乡村义务教育标准化学校，强化控辍保学工作，提高农村教育教学质量。完善随迁子女积分入读公办义务教育学校办法，支持鼓励公办学位供给不足的地方向民办学校购买义务教育服务，完善随迁子女在惠参加中考和高考政策，保障随迁子女公平受教育权利和升学机会。探索建设国际教育学校。办好特殊教育，加大对残疾学生、困难学生和少数民族学生帮扶力度。推进专门教育学校建设。</w:t>
      </w:r>
    </w:p>
    <w:p>
      <w:pPr>
        <w:overflowPunct w:val="0"/>
        <w:spacing w:line="600" w:lineRule="exact"/>
        <w:ind w:firstLine="643"/>
      </w:pPr>
      <w:r>
        <w:rPr>
          <w:b/>
          <w:bCs/>
        </w:rPr>
        <w:t>推动普通高中教育优质特色多样化发展。</w:t>
      </w:r>
      <w:r>
        <w:t>科学调整普通高中学校布局，新建一批公办普通高中学校和民办高中，扩大普通高中优质学位供给。全面提高普通高中教育质量，优化课程结构，强化学科教研，深化课堂教学改革，有序推进选课走班</w:t>
      </w:r>
      <w:r>
        <w:rPr>
          <w:rFonts w:hint="eastAsia"/>
        </w:rPr>
        <w:t>。</w:t>
      </w:r>
      <w:r>
        <w:t>支持普通高中学校以课程为载体，遴选一批体育艺术特色示范校，着力构建富有特色的学校课程体系及管理机制。加大学生综合素质评价改革推进力度，促进学生全面而有个性发展。</w:t>
      </w:r>
    </w:p>
    <w:p>
      <w:pPr>
        <w:overflowPunct w:val="0"/>
        <w:spacing w:line="600" w:lineRule="exact"/>
        <w:ind w:firstLine="643"/>
      </w:pPr>
      <w:r>
        <w:rPr>
          <w:b/>
          <w:bCs/>
        </w:rPr>
        <w:t>推动高等教育、职业教育提速提质发展。</w:t>
      </w:r>
      <w:r>
        <w:t>支持惠州学院建设高水平应用型大学，抢抓转为省属本科高校机遇，优化体制、明确定位、突出特色，加强以理工科为重点的学科建设，建成3-5个硕士点，重点发展电子信息类、计算机类、生物化学类专业，打造省内高水平</w:t>
      </w:r>
      <w:r>
        <w:rPr>
          <w:rFonts w:hint="eastAsia"/>
        </w:rPr>
        <w:t>“</w:t>
      </w:r>
      <w:r>
        <w:t>新工科</w:t>
      </w:r>
      <w:r>
        <w:rPr>
          <w:rFonts w:hint="eastAsia"/>
        </w:rPr>
        <w:t>”</w:t>
      </w:r>
      <w:r>
        <w:t>；发挥师范教育传统优势，建设支撑和引领区域基础教育发展的高水平</w:t>
      </w:r>
      <w:r>
        <w:rPr>
          <w:rFonts w:hint="eastAsia"/>
        </w:rPr>
        <w:t>“</w:t>
      </w:r>
      <w:r>
        <w:t>新师范</w:t>
      </w:r>
      <w:r>
        <w:rPr>
          <w:rFonts w:hint="eastAsia"/>
        </w:rPr>
        <w:t>”</w:t>
      </w:r>
      <w:r>
        <w:t>。支持惠州学院与其他高校共建医学院，打造医学人才培养基地。围绕促进</w:t>
      </w:r>
      <w:r>
        <w:rPr>
          <w:rFonts w:hint="eastAsia"/>
        </w:rPr>
        <w:t>“</w:t>
      </w:r>
      <w:r>
        <w:t>2+1</w:t>
      </w:r>
      <w:r>
        <w:rPr>
          <w:rFonts w:hint="eastAsia"/>
        </w:rPr>
        <w:t>”</w:t>
      </w:r>
      <w:r>
        <w:t>产业创新发展，积极引进国（境）内外知名大学来惠合作办学，构建与城市、产业发展相匹配的高等教育体系。聚焦培养现代产业高技能人才，持续推进职业教育</w:t>
      </w:r>
      <w:r>
        <w:rPr>
          <w:rFonts w:hint="eastAsia"/>
        </w:rPr>
        <w:t>“</w:t>
      </w:r>
      <w:r>
        <w:t>扩容、提质、强服务</w:t>
      </w:r>
      <w:r>
        <w:rPr>
          <w:rFonts w:hint="eastAsia"/>
        </w:rPr>
        <w:t>”</w:t>
      </w:r>
      <w:r>
        <w:t>，优化职业院校布局和专业设置，加快发展技工教育。深化职业教育教学质量与教学改革，强化职普融通、产教融合、校企合作，广泛开展企业新型学徒制，实施</w:t>
      </w:r>
      <w:r>
        <w:rPr>
          <w:rFonts w:hint="eastAsia"/>
        </w:rPr>
        <w:t>“</w:t>
      </w:r>
      <w:r>
        <w:t>双师双能型</w:t>
      </w:r>
      <w:r>
        <w:rPr>
          <w:rFonts w:hint="eastAsia"/>
        </w:rPr>
        <w:t>”</w:t>
      </w:r>
      <w:r>
        <w:t>师资培育工程。支持并鼓励社会力量兴办优质民办职业院校，扩大优质职业教育资源。坚持学历教育和培育教育并举，鼓励职业院校广泛开展职业培训。</w:t>
      </w:r>
    </w:p>
    <w:p>
      <w:pPr>
        <w:overflowPunct w:val="0"/>
        <w:spacing w:line="600" w:lineRule="exact"/>
        <w:ind w:firstLine="643"/>
      </w:pPr>
      <w:r>
        <w:rPr>
          <w:b/>
          <w:bCs/>
        </w:rPr>
        <w:t>深化教育重点领域改革。</w:t>
      </w:r>
      <w:r>
        <w:t>深入推进新时代教育评价改革，建立学前教育综合评价体系，完善义务教育质量监测制度和普通高中学校培养能力评价办法，探索建立职业院校办学质量综合评价体系。推进中考考试制度改革。健全学校家庭社会协同育人机制。落实立德树人根本任务，加强和改进新时代师德师风建设，与北京师范大学共建师德涵养（惠州）实验区。打造高素质专业化创新型教师队伍，实施新一轮</w:t>
      </w:r>
      <w:r>
        <w:rPr>
          <w:rFonts w:hint="eastAsia"/>
        </w:rPr>
        <w:t>“</w:t>
      </w:r>
      <w:r>
        <w:t>强师工程</w:t>
      </w:r>
      <w:r>
        <w:rPr>
          <w:rFonts w:hint="eastAsia"/>
        </w:rPr>
        <w:t>”</w:t>
      </w:r>
      <w:r>
        <w:t>，全面推行中小学教师</w:t>
      </w:r>
      <w:r>
        <w:rPr>
          <w:rFonts w:hint="eastAsia"/>
        </w:rPr>
        <w:t>“</w:t>
      </w:r>
      <w:r>
        <w:t>县管校聘</w:t>
      </w:r>
      <w:r>
        <w:rPr>
          <w:rFonts w:hint="eastAsia"/>
        </w:rPr>
        <w:t>”“</w:t>
      </w:r>
      <w:r>
        <w:t>局管校聘</w:t>
      </w:r>
      <w:r>
        <w:rPr>
          <w:rFonts w:hint="eastAsia"/>
        </w:rPr>
        <w:t>”</w:t>
      </w:r>
      <w:r>
        <w:t>管理改革，全面推进基础教育</w:t>
      </w:r>
      <w:r>
        <w:rPr>
          <w:rFonts w:hint="eastAsia"/>
        </w:rPr>
        <w:t>“</w:t>
      </w:r>
      <w:r>
        <w:t>头阵计划</w:t>
      </w:r>
      <w:r>
        <w:rPr>
          <w:rFonts w:hint="eastAsia"/>
        </w:rPr>
        <w:t>”</w:t>
      </w:r>
      <w:r>
        <w:t>，全面推开中小学教师教育教学能力考查。推动落实公办中小学校教师绩效工资分配制度改革。支持和规范社会力量办好民办教育，推进校外培训机构分类规范管理。加快数字校园、智慧校园建设，推进各类教学资源开放共享，构建基于</w:t>
      </w:r>
      <w:r>
        <w:rPr>
          <w:rFonts w:hint="eastAsia"/>
        </w:rPr>
        <w:t>“</w:t>
      </w:r>
      <w:r>
        <w:t>互联网+5G</w:t>
      </w:r>
      <w:r>
        <w:rPr>
          <w:rFonts w:hint="eastAsia"/>
        </w:rPr>
        <w:t>”</w:t>
      </w:r>
      <w:r>
        <w:t>的教育信息化新格局。发挥在线教育优势，完善终身学习体系，建设学习型社会。</w:t>
      </w:r>
    </w:p>
    <w:p>
      <w:pPr>
        <w:overflowPunct w:val="0"/>
        <w:spacing w:line="600" w:lineRule="exact"/>
        <w:ind w:firstLine="640"/>
      </w:pPr>
    </w:p>
    <w:p>
      <w:pPr>
        <w:pStyle w:val="5"/>
        <w:overflowPunct w:val="0"/>
        <w:spacing w:line="600" w:lineRule="exact"/>
      </w:pPr>
      <w:bookmarkStart w:id="248" w:name="_Toc11270"/>
      <w:bookmarkStart w:id="249" w:name="_Toc17283"/>
      <w:bookmarkStart w:id="250" w:name="_Toc25822"/>
      <w:bookmarkStart w:id="251" w:name="_Toc12381"/>
      <w:r>
        <w:rPr>
          <w:rFonts w:hint="eastAsia"/>
        </w:rPr>
        <w:t xml:space="preserve">第三节 </w:t>
      </w:r>
      <w:r>
        <w:t xml:space="preserve"> </w:t>
      </w:r>
      <w:r>
        <w:rPr>
          <w:rFonts w:hint="eastAsia"/>
        </w:rPr>
        <w:t>持续提高全民健康水平</w:t>
      </w:r>
      <w:bookmarkEnd w:id="248"/>
      <w:bookmarkEnd w:id="249"/>
      <w:bookmarkEnd w:id="250"/>
      <w:bookmarkEnd w:id="251"/>
    </w:p>
    <w:p>
      <w:pPr>
        <w:overflowPunct w:val="0"/>
        <w:spacing w:line="600" w:lineRule="exact"/>
        <w:ind w:firstLine="643"/>
      </w:pPr>
      <w:r>
        <w:rPr>
          <w:b/>
          <w:bCs/>
        </w:rPr>
        <w:t>建设完善医疗机构设施。</w:t>
      </w:r>
      <w:r>
        <w:t>完成市中心人民医院扩建，建设江南院区</w:t>
      </w:r>
      <w:r>
        <w:rPr>
          <w:rFonts w:hint="eastAsia"/>
        </w:rPr>
        <w:t>、金山院区</w:t>
      </w:r>
      <w:r>
        <w:t>，打造现代化、智慧型的高水平综合性医院。新增一批市名中医工作室，支持各级中医院与中医药大学合作共建，完善中医药特色康复医疗服务体系。推进市第二人民医院红花湖院区建设。实行县级妇幼保健院升级改造，进一步提升妇幼保健机构救治能力和服务水平。加快推进乡镇卫生院升级为县（区）</w:t>
      </w:r>
      <w:r>
        <w:rPr>
          <w:rFonts w:hint="eastAsia"/>
        </w:rPr>
        <w:t>“</w:t>
      </w:r>
      <w:r>
        <w:t>第二人民医院</w:t>
      </w:r>
      <w:r>
        <w:rPr>
          <w:rFonts w:hint="eastAsia"/>
        </w:rPr>
        <w:t>”</w:t>
      </w:r>
      <w:r>
        <w:t>。完善区域医疗资源布局，将社会办医纳入医疗机构设置规划，鼓励发展民营医疗服务。鼓励港澳台服务提供者来惠</w:t>
      </w:r>
      <w:r>
        <w:rPr>
          <w:rFonts w:hint="eastAsia"/>
        </w:rPr>
        <w:t>创办</w:t>
      </w:r>
      <w:r>
        <w:t>医疗机构，积极探索惠港医疗卫生合作新模式，鼓励举办中外合资、合作医疗机构。支持开设运动创伤、少儿自闭、老年痴呆等特色专科门诊。</w:t>
      </w:r>
    </w:p>
    <w:p>
      <w:pPr>
        <w:overflowPunct w:val="0"/>
        <w:spacing w:line="600" w:lineRule="exact"/>
        <w:ind w:firstLine="643"/>
      </w:pPr>
      <w:r>
        <w:rPr>
          <w:b/>
          <w:bCs/>
        </w:rPr>
        <w:t>提升医疗卫生服务能力。</w:t>
      </w:r>
      <w:r>
        <w:t>坚持基本医疗卫生事业公益属性，明确各级各类医疗机构功能定位。支持市中心人民医院建设成为省高水平医院，推动打造省区域医疗中心，推动县域医院争创能力强、服务佳的县级医院。完善院前急救服务体系建设，提高急危重症患者医疗救治能力，降低致死率、致残率。持续深化医药卫生体制改革，加快优质医疗资源扩容和区域均衡布局，加快建立分级诊疗体系，</w:t>
      </w:r>
      <w:r>
        <w:rPr>
          <w:rFonts w:hint="eastAsia"/>
        </w:rPr>
        <w:t>推进</w:t>
      </w:r>
      <w:r>
        <w:rPr>
          <w:rFonts w:hint="eastAsia" w:ascii="仿宋_GB2312" w:hAnsi="仿宋_GB2312" w:cs="仿宋_GB2312"/>
          <w:bCs/>
          <w:szCs w:val="32"/>
        </w:rPr>
        <w:t>医师多点执业，</w:t>
      </w:r>
      <w:r>
        <w:t>完善县镇村三级整合型医疗服务体系；深化公立医院改革，推进药品和耗材集中采购，建立维护公益性、调动积极性、保障可持续性的公立医院运行新机制。</w:t>
      </w:r>
      <w:r>
        <w:rPr>
          <w:rFonts w:hint="eastAsia"/>
        </w:rPr>
        <w:t>加强医疗卫生行业综合监管体系和能力建设，构建机构自治、行业自律、政府监管、社会监督相结合的多元化综合监管格局。</w:t>
      </w:r>
      <w:r>
        <w:t>大力加强医疗人才引进和培养，推进紧密型县域医共体人员</w:t>
      </w:r>
      <w:r>
        <w:rPr>
          <w:rFonts w:hint="eastAsia"/>
        </w:rPr>
        <w:t>“</w:t>
      </w:r>
      <w:r>
        <w:t>统招统管统用</w:t>
      </w:r>
      <w:r>
        <w:rPr>
          <w:rFonts w:hint="eastAsia"/>
        </w:rPr>
        <w:t>”</w:t>
      </w:r>
      <w:r>
        <w:t>，推动基层医务人员待遇水平提升。积极推进</w:t>
      </w:r>
      <w:r>
        <w:rPr>
          <w:rFonts w:hint="eastAsia"/>
        </w:rPr>
        <w:t>“</w:t>
      </w:r>
      <w:r>
        <w:t>互联网＋医疗健康</w:t>
      </w:r>
      <w:r>
        <w:rPr>
          <w:rFonts w:hint="eastAsia"/>
        </w:rPr>
        <w:t>”</w:t>
      </w:r>
      <w:r>
        <w:t>。</w:t>
      </w:r>
    </w:p>
    <w:p>
      <w:pPr>
        <w:overflowPunct w:val="0"/>
        <w:spacing w:line="600" w:lineRule="exact"/>
        <w:ind w:firstLine="643"/>
      </w:pPr>
      <w:r>
        <w:rPr>
          <w:b/>
          <w:bCs/>
        </w:rPr>
        <w:t>强化公共卫生应急能力建设。</w:t>
      </w:r>
      <w:r>
        <w:t>建立健全公共卫生安全应急指挥和监测预警体系，常态化统筹公共卫生安全和疫情防控工作。建立稳定的公共卫生事业投入机制，提升突发急性传染病防治能力，加强市县突发急性传染病收治场所、隔离病房建设，加强市、县（区）两级疾控中心防控队伍及装备配置，在二级以上公立医院设立公共卫生管理部门，建立急性传染病病原体检测联盟。加强公共卫生应急管理体系建设，推进疾病预防控制体系改革，建立健全分级、分层、分流的传染病等重大疫情救治机制，防范化解重大传染病风险。完善跨地区应急物资共享和协调保障机制。</w:t>
      </w:r>
    </w:p>
    <w:p>
      <w:pPr>
        <w:overflowPunct w:val="0"/>
        <w:spacing w:line="600" w:lineRule="exact"/>
        <w:ind w:firstLine="643"/>
      </w:pPr>
      <w:r>
        <w:rPr>
          <w:b/>
          <w:bCs/>
        </w:rPr>
        <w:t>完善中医药服务体系。</w:t>
      </w:r>
      <w:r>
        <w:t>坚持中西医并重，加大中医药服务投入，积极创建中医事业创新示范城。加强医疗联合体中医药工作，建立县镇村三级整合型中医药服务新体系，构建中医治未病服务体系。在乡镇卫生院和社区卫生服务中心实施基层中医馆能力提升工程，支持优秀中医临床人才研修和老中医药专家医术师承工</w:t>
      </w:r>
      <w:r>
        <w:rPr>
          <w:spacing w:val="4"/>
        </w:rPr>
        <w:t>作。到2025年，全市基层医疗卫生机构能够提供中医药服务的</w:t>
      </w:r>
      <w:r>
        <w:t>临床类别医师达到总数的25%以上，80%的县（区）创建成为全国基层中医药工作先进单位，实现全市乡村（社区）中医药服务全覆盖。</w:t>
      </w:r>
    </w:p>
    <w:p>
      <w:pPr>
        <w:overflowPunct w:val="0"/>
        <w:spacing w:line="600" w:lineRule="exact"/>
        <w:ind w:firstLine="643"/>
        <w:rPr>
          <w:spacing w:val="4"/>
        </w:rPr>
      </w:pPr>
      <w:r>
        <w:rPr>
          <w:b/>
          <w:bCs/>
        </w:rPr>
        <w:t>建立全方位全周期的健康服务保障体系。</w:t>
      </w:r>
      <w:r>
        <w:t>加强预防保健、疾病治疗和健康管理，实施健康惠州行动，加快</w:t>
      </w:r>
      <w:r>
        <w:rPr>
          <w:rFonts w:hint="eastAsia"/>
        </w:rPr>
        <w:t>促进“</w:t>
      </w:r>
      <w:r>
        <w:t>以治病为中心</w:t>
      </w:r>
      <w:r>
        <w:rPr>
          <w:rFonts w:hint="eastAsia"/>
        </w:rPr>
        <w:t>”</w:t>
      </w:r>
      <w:r>
        <w:t>向</w:t>
      </w:r>
      <w:r>
        <w:rPr>
          <w:rFonts w:hint="eastAsia"/>
        </w:rPr>
        <w:t>“</w:t>
      </w:r>
      <w:r>
        <w:t>以人民健康为中心</w:t>
      </w:r>
      <w:r>
        <w:rPr>
          <w:rFonts w:hint="eastAsia"/>
        </w:rPr>
        <w:t>”</w:t>
      </w:r>
      <w:r>
        <w:t>转变。充分利用互联网、大数据等新技术，探索精准便捷的全方位全生命周期健康管理新模式。倡导践行健康生活方式，加强心脑血管疾病、癌症、糖尿病等慢性非传染性疾病的防治。</w:t>
      </w:r>
      <w:r>
        <w:rPr>
          <w:rFonts w:hint="eastAsia"/>
        </w:rPr>
        <w:t>强化免疫规划，加强艾滋病、结核病、乙肝等重点疾病防治。</w:t>
      </w:r>
      <w:r>
        <w:t>提升健康教育和残疾康复服务质量，重视精神卫生和心理健康。全面加强幼儿园、中小学的卫生与健康工作，提高学生主动防病意识。做优妇幼保健服务体系，扎实开展</w:t>
      </w:r>
      <w:r>
        <w:rPr>
          <w:spacing w:val="2"/>
        </w:rPr>
        <w:t>0-6岁儿童健康管理。完善老年医疗资源布局，加强老年人健康</w:t>
      </w:r>
      <w:r>
        <w:t>管理。推进中西医并重的健康管理创新。加大职业健康宣传教育，</w:t>
      </w:r>
      <w:r>
        <w:rPr>
          <w:spacing w:val="4"/>
        </w:rPr>
        <w:t>提升职业病防护与危害事故应急自救能力。广泛开展爱国卫生运动。</w:t>
      </w:r>
    </w:p>
    <w:p>
      <w:pPr>
        <w:overflowPunct w:val="0"/>
        <w:spacing w:line="600" w:lineRule="exact"/>
        <w:ind w:firstLine="643"/>
      </w:pPr>
      <w:r>
        <w:rPr>
          <w:b/>
          <w:bCs/>
        </w:rPr>
        <w:t>大力发展体育事业。</w:t>
      </w:r>
      <w:r>
        <w:t>优化大中小型体育场馆等场地设施规划布局，加强城市绿道、健身步道、自行车道、社区健身公园等场地设施规划建设，加大公共体育场地设施免费低收费开放力度，高质量建成</w:t>
      </w:r>
      <w:r>
        <w:rPr>
          <w:rFonts w:hint="eastAsia"/>
        </w:rPr>
        <w:t>“</w:t>
      </w:r>
      <w:r>
        <w:t>15分钟健身圈</w:t>
      </w:r>
      <w:r>
        <w:rPr>
          <w:rFonts w:hint="eastAsia"/>
        </w:rPr>
        <w:t>”</w:t>
      </w:r>
      <w:r>
        <w:t>。办好各级各类群众健身活动，积极承办马拉松、足球、电竞等一批国际、国家、省和粤港澳大湾区上等级上规模的体育赛事。抓好青少年体育竞技人才培养，打造国家高水平体育后备人才基地。</w:t>
      </w:r>
      <w:r>
        <w:rPr>
          <w:spacing w:val="-2"/>
        </w:rPr>
        <w:t>加快体育产业发展</w:t>
      </w:r>
      <w:r>
        <w:rPr>
          <w:rFonts w:hint="eastAsia"/>
          <w:spacing w:val="-2"/>
        </w:rPr>
        <w:t>，</w:t>
      </w:r>
      <w:r>
        <w:t>推</w:t>
      </w:r>
      <w:r>
        <w:rPr>
          <w:spacing w:val="-2"/>
        </w:rPr>
        <w:t>进文旅体产业的深度融合。到2025年，体育</w:t>
      </w:r>
      <w:r>
        <w:t>场地设施城乡覆盖率达到100%，人均体育场地面积达到2.8平方米以上，国民体质监测合格率达到9</w:t>
      </w:r>
      <w:r>
        <w:rPr>
          <w:rFonts w:hint="eastAsia"/>
        </w:rPr>
        <w:t>4</w:t>
      </w:r>
      <w:r>
        <w:t>%以上。</w:t>
      </w:r>
    </w:p>
    <w:p>
      <w:pPr>
        <w:overflowPunct w:val="0"/>
        <w:spacing w:line="600" w:lineRule="exact"/>
        <w:ind w:firstLine="640"/>
      </w:pPr>
    </w:p>
    <w:p>
      <w:pPr>
        <w:pStyle w:val="5"/>
        <w:overflowPunct w:val="0"/>
        <w:spacing w:line="600" w:lineRule="exact"/>
      </w:pPr>
      <w:bookmarkStart w:id="252" w:name="_Toc27537"/>
      <w:bookmarkStart w:id="253" w:name="_Toc20647"/>
      <w:bookmarkStart w:id="254" w:name="_Toc12032"/>
      <w:bookmarkStart w:id="255" w:name="_Toc3360"/>
      <w:r>
        <w:rPr>
          <w:rFonts w:hint="eastAsia"/>
        </w:rPr>
        <w:t xml:space="preserve">第四节 </w:t>
      </w:r>
      <w:r>
        <w:t xml:space="preserve"> </w:t>
      </w:r>
      <w:r>
        <w:rPr>
          <w:rFonts w:hint="eastAsia"/>
        </w:rPr>
        <w:t>织密</w:t>
      </w:r>
      <w:r>
        <w:t>织牢民生保障网</w:t>
      </w:r>
      <w:bookmarkEnd w:id="252"/>
      <w:bookmarkEnd w:id="253"/>
      <w:bookmarkEnd w:id="254"/>
      <w:bookmarkEnd w:id="255"/>
    </w:p>
    <w:p>
      <w:pPr>
        <w:overflowPunct w:val="0"/>
        <w:spacing w:line="600" w:lineRule="exact"/>
        <w:ind w:firstLine="643"/>
      </w:pPr>
      <w:r>
        <w:rPr>
          <w:b/>
          <w:bCs/>
        </w:rPr>
        <w:t>完善社会保险制度。</w:t>
      </w:r>
      <w:r>
        <w:t>深入实施全民参保计划，加强全民参保数据动态管理和分析应用，完善缴费与待遇相挂钩的激励约束机制。完善城乡居民基本养老保险待遇确定机制，健全城乡居民基本养老保险与职工养老保险、城乡低保、农村五保和优抚制度衔接政策，推进符合条件的灵活就业人员参加城镇企业职工养老保险，积极发展以基本养老保险为基础、企业（职业）年金为补充、个人储蓄性养老保险和商业养老保险制度相衔接的多层次、多支柱的养老保险体系。对接养老保险全国统筹，实施渐进式延迟法定退休年龄。扩大企业年金制度覆盖面，探索建立行业性、区域性企业年金制度。稳妥推进机关事业单位养老保险制度改革。完善医疗保险动态调整平衡机制，完善统一的城乡居民基本医疗保险制度和大病保险制度，推进医疗、医保、医药</w:t>
      </w:r>
      <w:r>
        <w:rPr>
          <w:rFonts w:hint="eastAsia"/>
        </w:rPr>
        <w:t>“</w:t>
      </w:r>
      <w:r>
        <w:t>三医联动</w:t>
      </w:r>
      <w:r>
        <w:rPr>
          <w:rFonts w:hint="eastAsia"/>
        </w:rPr>
        <w:t>”</w:t>
      </w:r>
      <w:r>
        <w:t>改革。扩大工伤保险参保覆盖面，完善工伤保险长期待遇调整机制。完善失业保险待遇核定办法。</w:t>
      </w:r>
    </w:p>
    <w:p>
      <w:pPr>
        <w:overflowPunct w:val="0"/>
        <w:spacing w:line="600" w:lineRule="exact"/>
        <w:ind w:firstLine="643"/>
      </w:pPr>
      <w:r>
        <w:rPr>
          <w:b/>
          <w:bCs/>
        </w:rPr>
        <w:t>健全社会救助和福利服务体系。</w:t>
      </w:r>
      <w:r>
        <w:t>推进社会救助制度城乡统筹，完善基本生活救助为基础、专项社会救助为支撑、急难社会救助为辅助、社会力量参与为补充的分层分类救助体系。健全城乡低保标准动态调整机制，健全残疾人</w:t>
      </w:r>
      <w:r>
        <w:rPr>
          <w:rFonts w:hint="eastAsia"/>
        </w:rPr>
        <w:t>“</w:t>
      </w:r>
      <w:r>
        <w:t>两项补贴</w:t>
      </w:r>
      <w:r>
        <w:rPr>
          <w:rFonts w:hint="eastAsia"/>
        </w:rPr>
        <w:t>”</w:t>
      </w:r>
      <w:r>
        <w:rPr>
          <w:rStyle w:val="21"/>
        </w:rPr>
        <w:footnoteReference w:id="13"/>
      </w:r>
      <w:r>
        <w:t>制度。健全临时救助制度，适时启动低收入群众价格临时补贴联动机制。鼓励有条件的县</w:t>
      </w:r>
      <w:r>
        <w:rPr>
          <w:rFonts w:hint="eastAsia"/>
        </w:rPr>
        <w:t>（</w:t>
      </w:r>
      <w:r>
        <w:t>区</w:t>
      </w:r>
      <w:r>
        <w:rPr>
          <w:rFonts w:hint="eastAsia"/>
        </w:rPr>
        <w:t>）</w:t>
      </w:r>
      <w:r>
        <w:t>建立经济困难的失能</w:t>
      </w:r>
      <w:r>
        <w:rPr>
          <w:rFonts w:hint="eastAsia"/>
        </w:rPr>
        <w:t>、</w:t>
      </w:r>
      <w:r>
        <w:t>半失能长者护理补贴制度。积极推行政府购买社会救助服务，加强对社会救助服务机构的规范和监管。规范慈善事业、福利事业发展。把实现</w:t>
      </w:r>
      <w:r>
        <w:rPr>
          <w:rFonts w:hint="eastAsia"/>
        </w:rPr>
        <w:t>“</w:t>
      </w:r>
      <w:r>
        <w:t>逝有所安</w:t>
      </w:r>
      <w:r>
        <w:rPr>
          <w:rFonts w:hint="eastAsia"/>
        </w:rPr>
        <w:t>”</w:t>
      </w:r>
      <w:r>
        <w:t>摆在更加突出位置，加快补齐殡葬服务设施短板，全面提升殡葬服务保障水平。</w:t>
      </w:r>
    </w:p>
    <w:p>
      <w:pPr>
        <w:overflowPunct w:val="0"/>
        <w:spacing w:line="600" w:lineRule="exact"/>
        <w:ind w:firstLine="643"/>
      </w:pPr>
      <w:r>
        <w:rPr>
          <w:b/>
          <w:bCs/>
        </w:rPr>
        <w:t>加强妇女儿童等重点人群权益保护。</w:t>
      </w:r>
      <w:r>
        <w:t>提高妇女参与经济发展和社会管理能力，加大病残妇女、单亲母亲、老年妇女社会救助扶持力度，保障妇女卫生健康、受教育等权利，保障农村妇女土地权益和集体经济组织成员待遇，促进妇女全面发展。加强</w:t>
      </w:r>
      <w:r>
        <w:rPr>
          <w:rFonts w:hint="eastAsia"/>
        </w:rPr>
        <w:t>未成年人</w:t>
      </w:r>
      <w:r>
        <w:t>思想道德教育</w:t>
      </w:r>
      <w:r>
        <w:rPr>
          <w:rFonts w:hint="eastAsia"/>
        </w:rPr>
        <w:t>、</w:t>
      </w:r>
      <w:r>
        <w:t>劳动教育</w:t>
      </w:r>
      <w:r>
        <w:rPr>
          <w:rFonts w:hint="eastAsia"/>
        </w:rPr>
        <w:t>、心理健康教育</w:t>
      </w:r>
      <w:r>
        <w:t>，保障</w:t>
      </w:r>
      <w:r>
        <w:rPr>
          <w:rFonts w:hint="eastAsia"/>
        </w:rPr>
        <w:t>未成年人生存发展权益，</w:t>
      </w:r>
      <w:r>
        <w:t>促进</w:t>
      </w:r>
      <w:r>
        <w:rPr>
          <w:rFonts w:hint="eastAsia"/>
        </w:rPr>
        <w:t>身</w:t>
      </w:r>
      <w:r>
        <w:t>心健康</w:t>
      </w:r>
      <w:r>
        <w:rPr>
          <w:rFonts w:hint="eastAsia"/>
        </w:rPr>
        <w:t>和全面</w:t>
      </w:r>
      <w:r>
        <w:t>发展。建立健全未成年人救助保护体系，加快建设市、县（区）两级未成年人救助保护和妇女儿童活动</w:t>
      </w:r>
      <w:r>
        <w:rPr>
          <w:rFonts w:hint="eastAsia"/>
        </w:rPr>
        <w:t>平台和场所。全面推进儿童友好城市和社区建设，</w:t>
      </w:r>
      <w:r>
        <w:t>推动儿童保障体系建设不断发展，加强</w:t>
      </w:r>
      <w:r>
        <w:rPr>
          <w:rFonts w:hint="eastAsia"/>
        </w:rPr>
        <w:t>留守、流动、</w:t>
      </w:r>
      <w:r>
        <w:t>困境儿童关爱保护。建立完善反家庭暴力工作机制，严厉打击拐卖、</w:t>
      </w:r>
      <w:r>
        <w:rPr>
          <w:rFonts w:hint="eastAsia"/>
        </w:rPr>
        <w:t>猥亵、</w:t>
      </w:r>
      <w:r>
        <w:t>欺凌等侵害妇女儿童的违法犯罪行为。加快发展残疾人事业，建立健全残疾人社会保障体系和公共服务体系，加强无障碍环境建设与管理。高质量推进退役军人服务保障体系建设，高水平做好经常性服务工作。</w:t>
      </w:r>
    </w:p>
    <w:p>
      <w:pPr>
        <w:overflowPunct w:val="0"/>
        <w:spacing w:line="600" w:lineRule="exact"/>
        <w:ind w:firstLine="643"/>
      </w:pPr>
      <w:r>
        <w:rPr>
          <w:rFonts w:hint="eastAsia"/>
          <w:b/>
          <w:bCs/>
        </w:rPr>
        <w:t>构建</w:t>
      </w:r>
      <w:r>
        <w:rPr>
          <w:b/>
          <w:bCs/>
        </w:rPr>
        <w:t>多渠道分层次和可持续发展的住房保障体系</w:t>
      </w:r>
      <w:r>
        <w:t>。继续实施安居工程，增加保障性住房用地供应，优先保障低保及低保边缘家庭住房需求。完善长租房政策，推动土地供应向租赁住房建设倾斜，探索利用集体建设用地和企事业单位自有闲置土地按规划建设租赁住房。加大力度筹集人才住房，有效保障人才安居住房需求，提升人才住房品质。规范发展公租房，适时调整公共租赁住房准入条件，优化轮候、配租和退出机制。建立保障性住房封闭运作、内部流转机制，实现公共住房资源公平合理使用。完善住房公积金提取、使用和监管机制，提高住房公积金贷款政策对合理住房需求的支持力度。</w:t>
      </w:r>
    </w:p>
    <w:p>
      <w:pPr>
        <w:overflowPunct w:val="0"/>
        <w:spacing w:line="600" w:lineRule="exact"/>
        <w:ind w:firstLine="640"/>
      </w:pPr>
    </w:p>
    <w:p>
      <w:pPr>
        <w:pStyle w:val="5"/>
        <w:overflowPunct w:val="0"/>
        <w:spacing w:line="600" w:lineRule="exact"/>
      </w:pPr>
      <w:bookmarkStart w:id="256" w:name="_Toc25074"/>
      <w:bookmarkStart w:id="257" w:name="_Toc21171"/>
      <w:bookmarkStart w:id="258" w:name="_Toc16454"/>
      <w:bookmarkStart w:id="259" w:name="_Toc16336"/>
      <w:r>
        <w:t xml:space="preserve">第五节  </w:t>
      </w:r>
      <w:r>
        <w:rPr>
          <w:rFonts w:hint="eastAsia"/>
        </w:rPr>
        <w:t>建设文化强市</w:t>
      </w:r>
      <w:bookmarkEnd w:id="256"/>
      <w:bookmarkEnd w:id="257"/>
      <w:bookmarkEnd w:id="258"/>
      <w:bookmarkEnd w:id="259"/>
    </w:p>
    <w:p>
      <w:pPr>
        <w:overflowPunct w:val="0"/>
        <w:spacing w:line="600" w:lineRule="exact"/>
        <w:ind w:firstLine="643"/>
      </w:pPr>
      <w:r>
        <w:rPr>
          <w:b/>
          <w:bCs/>
        </w:rPr>
        <w:t>提高社会文明程度。</w:t>
      </w:r>
      <w:r>
        <w:t>深入开展习近平新时代中国特色社会主义思想学习教育，加强党史、新中国史、改革开放史、社会主义发展史教育，加强爱国主义、集体主义、社会主义教育，积极</w:t>
      </w:r>
      <w:r>
        <w:rPr>
          <w:rFonts w:hint="eastAsia"/>
        </w:rPr>
        <w:t>培育</w:t>
      </w:r>
      <w:r>
        <w:t>和践行社会主义核心价值观，大力弘扬爱国主义精神，推动形成适应新时代要求的思想观念、精神面貌、文明风尚、行为规范。</w:t>
      </w:r>
      <w:r>
        <w:rPr>
          <w:rFonts w:hint="eastAsia"/>
        </w:rPr>
        <w:t>加强革命遗址保护利用，</w:t>
      </w:r>
      <w:r>
        <w:t>弘扬党和人民在</w:t>
      </w:r>
      <w:r>
        <w:rPr>
          <w:rFonts w:hint="eastAsia"/>
        </w:rPr>
        <w:t>各个</w:t>
      </w:r>
      <w:r>
        <w:t>历史时期的</w:t>
      </w:r>
      <w:r>
        <w:rPr>
          <w:rFonts w:hint="eastAsia"/>
        </w:rPr>
        <w:t>奋斗</w:t>
      </w:r>
      <w:r>
        <w:t>精神，推进公民道德建设。坚持全域、全民、常态</w:t>
      </w:r>
      <w:r>
        <w:rPr>
          <w:rFonts w:hint="eastAsia"/>
        </w:rPr>
        <w:t>化</w:t>
      </w:r>
      <w:r>
        <w:t>创建文明城市，高标准推进新时代文明实践中心建设，力争成为全省首个全国文明城市全域覆盖的地级市。弘扬</w:t>
      </w:r>
      <w:r>
        <w:rPr>
          <w:rFonts w:hint="eastAsia"/>
        </w:rPr>
        <w:t>“</w:t>
      </w:r>
      <w:r>
        <w:t>惠州精神</w:t>
      </w:r>
      <w:r>
        <w:rPr>
          <w:rFonts w:hint="eastAsia"/>
        </w:rPr>
        <w:t>”</w:t>
      </w:r>
      <w:r>
        <w:t>、讲好</w:t>
      </w:r>
      <w:r>
        <w:rPr>
          <w:rFonts w:hint="eastAsia"/>
        </w:rPr>
        <w:t>“</w:t>
      </w:r>
      <w:r>
        <w:t>惠州故事</w:t>
      </w:r>
      <w:r>
        <w:rPr>
          <w:rFonts w:hint="eastAsia"/>
        </w:rPr>
        <w:t>”</w:t>
      </w:r>
      <w:r>
        <w:t>，打造</w:t>
      </w:r>
      <w:r>
        <w:rPr>
          <w:rFonts w:hint="eastAsia"/>
        </w:rPr>
        <w:t>“</w:t>
      </w:r>
      <w:r>
        <w:t>岭东雄郡</w:t>
      </w:r>
      <w:r>
        <w:rPr>
          <w:rFonts w:hint="eastAsia"/>
        </w:rPr>
        <w:t>”</w:t>
      </w:r>
      <w:r>
        <w:t>城市品牌。健全志愿服务体系，积极探索</w:t>
      </w:r>
      <w:r>
        <w:rPr>
          <w:rFonts w:hint="eastAsia"/>
        </w:rPr>
        <w:t>“</w:t>
      </w:r>
      <w:r>
        <w:t>互联网+志愿服务</w:t>
      </w:r>
      <w:r>
        <w:rPr>
          <w:rFonts w:hint="eastAsia"/>
        </w:rPr>
        <w:t>”</w:t>
      </w:r>
      <w:r>
        <w:t>，广泛开展志愿服务关爱行动。弘扬诚信文化，提倡艰苦奋斗、勤俭节约，推进移风易俗。</w:t>
      </w:r>
      <w:r>
        <w:rPr>
          <w:rFonts w:hint="eastAsia"/>
        </w:rPr>
        <w:t>树立新时代家庭观，推动形成爱国爱家、相亲相爱、向上向善、共建共享的家庭文明新风尚。</w:t>
      </w:r>
      <w:r>
        <w:t>加强网络文明建设和网络空间治理，培育积极健康的网络生态。</w:t>
      </w:r>
    </w:p>
    <w:p>
      <w:pPr>
        <w:overflowPunct w:val="0"/>
        <w:spacing w:line="600" w:lineRule="exact"/>
        <w:ind w:firstLine="643"/>
      </w:pPr>
      <w:r>
        <w:rPr>
          <w:b/>
          <w:bCs/>
        </w:rPr>
        <w:t>大力发展文化事业。</w:t>
      </w:r>
      <w:r>
        <w:t>建设一批与城市发展相匹配、具有影响力的文化设施，用</w:t>
      </w:r>
      <w:r>
        <w:rPr>
          <w:rFonts w:hint="eastAsia"/>
        </w:rPr>
        <w:t>“</w:t>
      </w:r>
      <w:r>
        <w:t>文化+</w:t>
      </w:r>
      <w:r>
        <w:rPr>
          <w:rFonts w:hint="eastAsia"/>
        </w:rPr>
        <w:t>”</w:t>
      </w:r>
      <w:r>
        <w:t>推进公共文化供给侧改革，推动从注重硬件建设向提升服务效能转变、从单向供给向供需对接转变。完善公共文化场馆免费开放制度。</w:t>
      </w:r>
      <w:r>
        <w:rPr>
          <w:rFonts w:hint="eastAsia"/>
        </w:rPr>
        <w:t>发展档案事业。</w:t>
      </w:r>
      <w:r>
        <w:t>完善文艺创作机制，创新文艺内容与形式，攀登文艺高峰。引进一批国际国内有影响力的文体活动，参与粤港澳大湾区文化交流合作项目，打造一批文化交流主场品牌活动。大力推进报业、广电传媒集团改革，推进媒体深度融合，建强用好县级融媒体中心，做大做强新型主流媒体，提高新闻舆论传播力、引导力、影响力、公</w:t>
      </w:r>
      <w:r>
        <w:rPr>
          <w:spacing w:val="4"/>
        </w:rPr>
        <w:t>信力。到2025年基本构建起具有社会舆论引领力的全媒体传播</w:t>
      </w:r>
      <w:r>
        <w:t>体系。</w:t>
      </w:r>
    </w:p>
    <w:tbl>
      <w:tblPr>
        <w:tblStyle w:val="18"/>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9" w:type="dxa"/>
            <w:tcMar>
              <w:top w:w="170" w:type="dxa"/>
              <w:bottom w:w="170" w:type="dxa"/>
            </w:tcMar>
          </w:tcPr>
          <w:p>
            <w:pPr>
              <w:pStyle w:val="26"/>
              <w:overflowPunct w:val="0"/>
              <w:spacing w:line="240" w:lineRule="auto"/>
              <w:rPr>
                <w:b/>
              </w:rPr>
            </w:pPr>
            <w:r>
              <w:rPr>
                <w:b/>
                <w:bCs/>
              </w:rPr>
              <w:t>专栏</w:t>
            </w:r>
            <w:r>
              <w:rPr>
                <w:rFonts w:hint="eastAsia"/>
                <w:b/>
                <w:bCs/>
              </w:rPr>
              <w:t>4</w:t>
            </w:r>
            <w:r>
              <w:rPr>
                <w:b/>
                <w:bCs/>
              </w:rPr>
              <w:t xml:space="preserve">  公共文化提质增量工程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9" w:type="dxa"/>
            <w:tcMar>
              <w:top w:w="113" w:type="dxa"/>
              <w:bottom w:w="113" w:type="dxa"/>
            </w:tcMar>
          </w:tcPr>
          <w:p>
            <w:pPr>
              <w:pStyle w:val="31"/>
              <w:overflowPunct w:val="0"/>
              <w:spacing w:line="240" w:lineRule="auto"/>
              <w:ind w:firstLine="482" w:firstLineChars="200"/>
              <w:jc w:val="both"/>
              <w:rPr>
                <w:rFonts w:eastAsia="仿宋_GB2312"/>
              </w:rPr>
            </w:pPr>
            <w:r>
              <w:rPr>
                <w:rFonts w:hint="eastAsia" w:eastAsia="仿宋_GB2312"/>
                <w:b/>
                <w:bCs/>
              </w:rPr>
              <w:t>1.建设新时代文化设施</w:t>
            </w:r>
            <w:r>
              <w:rPr>
                <w:rFonts w:hint="eastAsia" w:eastAsia="仿宋_GB2312"/>
              </w:rPr>
              <w:t>：改造提升图书馆、文化馆、博物馆；推进建设市美术馆，谋划建设城市第二文体中心（新型文旅综合体）、现代音乐广场等设施。</w:t>
            </w:r>
          </w:p>
          <w:p>
            <w:pPr>
              <w:pStyle w:val="31"/>
              <w:overflowPunct w:val="0"/>
              <w:spacing w:line="240" w:lineRule="auto"/>
              <w:ind w:firstLine="482" w:firstLineChars="200"/>
              <w:jc w:val="both"/>
              <w:rPr>
                <w:rFonts w:eastAsia="仿宋_GB2312"/>
              </w:rPr>
            </w:pPr>
            <w:r>
              <w:rPr>
                <w:rFonts w:hint="eastAsia" w:eastAsia="仿宋_GB2312"/>
                <w:b/>
                <w:bCs/>
              </w:rPr>
              <w:t>2.打造一批新型文旅融合空间</w:t>
            </w:r>
            <w:r>
              <w:rPr>
                <w:rFonts w:hint="eastAsia" w:eastAsia="仿宋_GB2312"/>
              </w:rPr>
              <w:t>：东坡尚书房、粤书吧、归善书房、缚娄书房等一批青年喜爱打卡点。</w:t>
            </w:r>
          </w:p>
          <w:p>
            <w:pPr>
              <w:pStyle w:val="31"/>
              <w:overflowPunct w:val="0"/>
              <w:spacing w:line="240" w:lineRule="auto"/>
              <w:ind w:firstLine="482" w:firstLineChars="200"/>
              <w:jc w:val="both"/>
              <w:rPr>
                <w:rFonts w:eastAsia="仿宋_GB2312"/>
              </w:rPr>
            </w:pPr>
            <w:r>
              <w:rPr>
                <w:rFonts w:hint="eastAsia" w:eastAsia="仿宋_GB2312"/>
                <w:b/>
                <w:bCs/>
              </w:rPr>
              <w:t>3.完善公共文化数字化服务</w:t>
            </w:r>
            <w:r>
              <w:rPr>
                <w:rFonts w:hint="eastAsia" w:eastAsia="仿宋_GB2312"/>
              </w:rPr>
              <w:t>：完善数字图书馆、数字文化馆、数字博物馆、数字农家书屋等功能，规划智慧广电+公共文化服务体系、农村应急广播体系。</w:t>
            </w:r>
          </w:p>
          <w:p>
            <w:pPr>
              <w:pStyle w:val="31"/>
              <w:overflowPunct w:val="0"/>
              <w:spacing w:line="240" w:lineRule="auto"/>
              <w:ind w:firstLine="482" w:firstLineChars="200"/>
              <w:jc w:val="both"/>
              <w:rPr>
                <w:rFonts w:eastAsia="仿宋_GB2312"/>
              </w:rPr>
            </w:pPr>
            <w:r>
              <w:rPr>
                <w:rFonts w:hint="eastAsia" w:eastAsia="仿宋_GB2312"/>
                <w:b/>
                <w:bCs/>
              </w:rPr>
              <w:t>4.办好文艺创作及品牌活动</w:t>
            </w:r>
            <w:r>
              <w:rPr>
                <w:rFonts w:hint="eastAsia" w:eastAsia="仿宋_GB2312"/>
              </w:rPr>
              <w:t>：“岭东雄郡 山海惠州 争创一流”主题系列文艺精品、《雄郡惠州 百年梦圆》大型交响音乐史诗、《红色东江》组歌、大型渔歌音乐剧《渔家》、历史纪录片《永恒的印记》；出版人文周刊《惠州文脉》《惠州诗征》；开展“东坡文化研讨会”“花地·西湖文学榜”评选活动。</w:t>
            </w:r>
          </w:p>
        </w:tc>
      </w:tr>
    </w:tbl>
    <w:p>
      <w:pPr>
        <w:ind w:firstLine="640"/>
      </w:pPr>
    </w:p>
    <w:p>
      <w:pPr>
        <w:overflowPunct w:val="0"/>
        <w:spacing w:line="600" w:lineRule="exact"/>
        <w:ind w:firstLine="643"/>
      </w:pPr>
      <w:r>
        <w:rPr>
          <w:b/>
          <w:bCs/>
        </w:rPr>
        <w:t>发展壮大现代文旅经济。</w:t>
      </w:r>
      <w:r>
        <w:t>坚持把社会效益放在首位、社会效益和经济效益相统一，完善文化产业规划和政策。加快建设岭东雄郡文化创意产业园，规划建设省级文创园区，谋划建设电竞产业园，培育百强文旅企业，持续壮大文旅产业规模。大力实施文化产业数字化战略，推进省级超高清视频产业园等项目建设，以4K/8K影视、数字出版为切入点，大力发展数字创意、数字娱乐、数字文化产品制造业等。深入推进国家文化和旅游消费示范城市试点工作，大力实施</w:t>
      </w:r>
      <w:r>
        <w:rPr>
          <w:rFonts w:hint="eastAsia"/>
        </w:rPr>
        <w:t>“</w:t>
      </w:r>
      <w:r>
        <w:t>文旅+</w:t>
      </w:r>
      <w:r>
        <w:rPr>
          <w:rFonts w:hint="eastAsia"/>
        </w:rPr>
        <w:t>”</w:t>
      </w:r>
      <w:r>
        <w:t>战略，促进文旅业态融合创新，不断满足文化消费升级需求。争取万有（惠州）国际旅游度假区、F1国际赛车城等重大文旅项目落户。</w:t>
      </w:r>
      <w:r>
        <w:rPr>
          <w:rFonts w:hint="eastAsia"/>
        </w:rPr>
        <w:t>推动全域旅游高质量发展，</w:t>
      </w:r>
      <w:r>
        <w:t>推进</w:t>
      </w:r>
      <w:r>
        <w:rPr>
          <w:rFonts w:hint="eastAsia"/>
        </w:rPr>
        <w:t>环西湖、环罗浮山一南昆山及惠州湾重大文旅平台</w:t>
      </w:r>
      <w:r>
        <w:t>高品质提升，建设一批以海洋文化、中医药文化、东坡文化等为主题的旅游度假区、精品线路和活动赛事，培育</w:t>
      </w:r>
      <w:r>
        <w:rPr>
          <w:rFonts w:hint="eastAsia"/>
        </w:rPr>
        <w:t>“</w:t>
      </w:r>
      <w:r>
        <w:t>岭东雄郡·惠州有礼</w:t>
      </w:r>
      <w:r>
        <w:rPr>
          <w:rFonts w:hint="eastAsia"/>
        </w:rPr>
        <w:t>”</w:t>
      </w:r>
      <w:r>
        <w:t>惠州手信IP。参与粤港澳大湾区</w:t>
      </w:r>
      <w:r>
        <w:rPr>
          <w:rFonts w:hint="eastAsia"/>
        </w:rPr>
        <w:t>“</w:t>
      </w:r>
      <w:r>
        <w:t>一程多站</w:t>
      </w:r>
      <w:r>
        <w:rPr>
          <w:rFonts w:hint="eastAsia"/>
        </w:rPr>
        <w:t>”</w:t>
      </w:r>
      <w:r>
        <w:t>旅游精品线路开发，携手开展联合推广、信息互通、旅客互送。</w:t>
      </w:r>
    </w:p>
    <w:p>
      <w:pPr>
        <w:overflowPunct w:val="0"/>
        <w:spacing w:line="600" w:lineRule="exact"/>
        <w:ind w:firstLine="643"/>
      </w:pPr>
      <w:r>
        <w:rPr>
          <w:b/>
          <w:bCs/>
        </w:rPr>
        <w:t>丰富国家历史文化名城内涵。</w:t>
      </w:r>
      <w:r>
        <w:t>实施文化传承创新工程，加强文物、历史街区、古建筑、古驿道、古村落、古籍的保护和修缮，深度挖掘东坡寓惠文化，建设</w:t>
      </w:r>
      <w:r>
        <w:rPr>
          <w:rFonts w:hint="eastAsia"/>
        </w:rPr>
        <w:t>“</w:t>
      </w:r>
      <w:r>
        <w:t>岭南东坡文化中心</w:t>
      </w:r>
      <w:r>
        <w:rPr>
          <w:rFonts w:hint="eastAsia"/>
        </w:rPr>
        <w:t>”</w:t>
      </w:r>
      <w:r>
        <w:t>。鼓励支持建设一批特色社会博物馆，</w:t>
      </w:r>
      <w:r>
        <w:rPr>
          <w:rFonts w:hint="eastAsia"/>
        </w:rPr>
        <w:t>谋划</w:t>
      </w:r>
      <w:r>
        <w:t>建设现代音乐陈列馆。积极申报国家和省级文保单位、非遗项目。厚植文化内涵、丰富体验业态，以</w:t>
      </w:r>
      <w:r>
        <w:rPr>
          <w:rFonts w:hint="eastAsia"/>
        </w:rPr>
        <w:t>“</w:t>
      </w:r>
      <w:r>
        <w:t>绣花</w:t>
      </w:r>
      <w:r>
        <w:rPr>
          <w:rFonts w:hint="eastAsia"/>
        </w:rPr>
        <w:t>”</w:t>
      </w:r>
      <w:r>
        <w:t>功夫改造提升水东街、金带街、北直门街、铁炉湖等历史街区，丰富中山公园、朝京门、合江楼、丰湖书院、挂榜阁文化内涵，推进东湖旅店二期建设。参与粤港澳大湾区文化遗产游径建设，推进与</w:t>
      </w:r>
      <w:r>
        <w:rPr>
          <w:rFonts w:hint="eastAsia"/>
        </w:rPr>
        <w:t>“</w:t>
      </w:r>
      <w:r>
        <w:t>一带一路</w:t>
      </w:r>
      <w:r>
        <w:rPr>
          <w:rFonts w:hint="eastAsia"/>
        </w:rPr>
        <w:t>”</w:t>
      </w:r>
      <w:r>
        <w:t>主要城市文化交流，打造具有</w:t>
      </w:r>
      <w:r>
        <w:rPr>
          <w:rFonts w:hint="eastAsia"/>
        </w:rPr>
        <w:t>“</w:t>
      </w:r>
      <w:r>
        <w:t>惠州味</w:t>
      </w:r>
      <w:r>
        <w:rPr>
          <w:rFonts w:hint="eastAsia"/>
        </w:rPr>
        <w:t>”</w:t>
      </w:r>
      <w:r>
        <w:t>和</w:t>
      </w:r>
      <w:r>
        <w:rPr>
          <w:rFonts w:hint="eastAsia"/>
        </w:rPr>
        <w:t>“</w:t>
      </w:r>
      <w:r>
        <w:t>中国风</w:t>
      </w:r>
      <w:r>
        <w:rPr>
          <w:rFonts w:hint="eastAsia"/>
        </w:rPr>
        <w:t>”</w:t>
      </w:r>
      <w:r>
        <w:t>的文化交流平台。</w:t>
      </w:r>
    </w:p>
    <w:p>
      <w:pPr>
        <w:overflowPunct w:val="0"/>
        <w:spacing w:line="600" w:lineRule="exact"/>
        <w:ind w:firstLine="0" w:firstLineChars="0"/>
        <w:rPr>
          <w:b/>
          <w:bCs/>
        </w:rPr>
      </w:pPr>
    </w:p>
    <w:p>
      <w:pPr>
        <w:pStyle w:val="5"/>
        <w:overflowPunct w:val="0"/>
        <w:spacing w:line="600" w:lineRule="exact"/>
      </w:pPr>
      <w:bookmarkStart w:id="260" w:name="_Toc16849"/>
      <w:bookmarkStart w:id="261" w:name="_Toc5175"/>
      <w:bookmarkStart w:id="262" w:name="_Toc30991"/>
      <w:bookmarkStart w:id="263" w:name="_Toc32148"/>
      <w:r>
        <w:rPr>
          <w:rFonts w:hint="eastAsia"/>
        </w:rPr>
        <w:t xml:space="preserve">第六节  </w:t>
      </w:r>
      <w:r>
        <w:t>积极应对人口老龄化</w:t>
      </w:r>
      <w:bookmarkEnd w:id="260"/>
      <w:bookmarkEnd w:id="261"/>
      <w:bookmarkEnd w:id="262"/>
      <w:bookmarkEnd w:id="263"/>
    </w:p>
    <w:p>
      <w:pPr>
        <w:overflowPunct w:val="0"/>
        <w:spacing w:line="600" w:lineRule="exact"/>
        <w:ind w:firstLine="643"/>
      </w:pPr>
      <w:r>
        <w:rPr>
          <w:b/>
          <w:bCs/>
        </w:rPr>
        <w:t>健全社会养老服务体系。</w:t>
      </w:r>
      <w:r>
        <w:t>加强城乡居家社区养老服务设施建设，推动新建城区和新建住宅区按标准配套建设养老服务设施，</w:t>
      </w:r>
      <w:r>
        <w:rPr>
          <w:spacing w:val="-4"/>
        </w:rPr>
        <w:t>到2025年</w:t>
      </w:r>
      <w:r>
        <w:rPr>
          <w:rFonts w:hint="eastAsia"/>
          <w:spacing w:val="-4"/>
        </w:rPr>
        <w:t>实现养老服务设施覆盖全部城镇社区和不低于60%的农村社区</w:t>
      </w:r>
      <w:r>
        <w:t>。强化公办养老机构的托底保障功能。鼓励和扶持社会力量投资建设大型养老机构。探索建立养老服务机构等级评定、督导制度，探索建立养老服务人员登记和诚信管理机制。推进长者综合服务管理平台和居家养老信息化服务平台建设。到2025年</w:t>
      </w:r>
      <w:r>
        <w:rPr>
          <w:rFonts w:hint="eastAsia"/>
        </w:rPr>
        <w:t>养老机构护理型床位占比不低于55%</w:t>
      </w:r>
      <w:r>
        <w:rPr>
          <w:spacing w:val="-4"/>
        </w:rPr>
        <w:t>。</w:t>
      </w:r>
    </w:p>
    <w:p>
      <w:pPr>
        <w:overflowPunct w:val="0"/>
        <w:spacing w:line="600" w:lineRule="exact"/>
        <w:ind w:firstLine="643"/>
      </w:pPr>
      <w:r>
        <w:rPr>
          <w:b/>
          <w:bCs/>
        </w:rPr>
        <w:t>建立完善老年健康服务体系。</w:t>
      </w:r>
      <w:r>
        <w:t>完善老年医疗资源布局，深入实施医养结合，鼓励有条件的医疗机构开设养老服务，推进有条件的二级及以上综合性医院开设老年医学科，推动养老机构设立医疗机构或与周边医疗卫生机构开展合作，构建综合连续、覆盖</w:t>
      </w:r>
      <w:r>
        <w:rPr>
          <w:spacing w:val="4"/>
        </w:rPr>
        <w:t>城乡的老年健康服务体系。到2025年，全市二级以上综合医院</w:t>
      </w:r>
      <w:r>
        <w:t>设老年医学科比例达55%以上，基层医疗卫生机构护理型床位占比达35%，65岁以上老年人健康管理率达72%，长者与家庭医生签约、养老与医疗机构合作签约全覆盖。</w:t>
      </w:r>
    </w:p>
    <w:p>
      <w:pPr>
        <w:overflowPunct w:val="0"/>
        <w:spacing w:line="600" w:lineRule="exact"/>
        <w:ind w:firstLine="643"/>
      </w:pPr>
      <w:r>
        <w:rPr>
          <w:b/>
          <w:bCs/>
        </w:rPr>
        <w:t>加快发展银发经济。</w:t>
      </w:r>
      <w:r>
        <w:t>加快推进国家高端康养基地和国家老年用品研发制造高地建设，规划建设老年用品产业集聚区，加强老年用品的研发、生产与流通。推进养老服务业与其它产业融合发展。深入推进养老产业领域</w:t>
      </w:r>
      <w:r>
        <w:rPr>
          <w:rFonts w:hint="eastAsia"/>
        </w:rPr>
        <w:t>“</w:t>
      </w:r>
      <w:r>
        <w:t>放管服</w:t>
      </w:r>
      <w:r>
        <w:rPr>
          <w:rFonts w:hint="eastAsia"/>
        </w:rPr>
        <w:t>”</w:t>
      </w:r>
      <w:r>
        <w:t>改革，落实养老服务税费减免政策，培育养老新业态、新模式。探索成立国有企业参与养老服务设施运营管理新模式，支持养老服务龙头骨干企业做大做强，增加高质量养老服务和产品供给。</w:t>
      </w:r>
    </w:p>
    <w:p>
      <w:pPr>
        <w:overflowPunct w:val="0"/>
        <w:spacing w:line="600" w:lineRule="exact"/>
        <w:ind w:firstLine="643"/>
      </w:pPr>
      <w:r>
        <w:rPr>
          <w:b/>
          <w:bCs/>
        </w:rPr>
        <w:t>开发老年人力资源。</w:t>
      </w:r>
      <w:r>
        <w:t>探索建立</w:t>
      </w:r>
      <w:r>
        <w:rPr>
          <w:rFonts w:hint="eastAsia"/>
        </w:rPr>
        <w:t>“</w:t>
      </w:r>
      <w:r>
        <w:t>老有所为</w:t>
      </w:r>
      <w:r>
        <w:rPr>
          <w:rFonts w:hint="eastAsia"/>
        </w:rPr>
        <w:t>”</w:t>
      </w:r>
      <w:r>
        <w:t>政策体系，建立长者人才信息库，建设完善惠州市长者人才服务平台，促进再就业长者与用人单位有效对接。建设国家长者智慧聚集地，广泛吸引杰出长者到惠州康乐颐养、文化交流、学术研讨和科研成果转化。鼓励用人单位雇用长者，保障再就业长者合法权益。加强为长者再就业提供技术技能、适应训练等培训服务，形成</w:t>
      </w:r>
      <w:r>
        <w:rPr>
          <w:rFonts w:hint="eastAsia"/>
        </w:rPr>
        <w:t>“</w:t>
      </w:r>
      <w:r>
        <w:t>老有所为</w:t>
      </w:r>
      <w:r>
        <w:rPr>
          <w:rFonts w:hint="eastAsia"/>
        </w:rPr>
        <w:t>”的</w:t>
      </w:r>
      <w:r>
        <w:t>良好社会氛围。</w:t>
      </w:r>
    </w:p>
    <w:p>
      <w:pPr>
        <w:overflowPunct w:val="0"/>
        <w:spacing w:line="600" w:lineRule="exact"/>
        <w:ind w:firstLine="643"/>
      </w:pPr>
      <w:r>
        <w:rPr>
          <w:b/>
          <w:bCs/>
        </w:rPr>
        <w:t>促进人口结构优化及合理分布。</w:t>
      </w:r>
      <w:r>
        <w:rPr>
          <w:rFonts w:hint="eastAsia"/>
        </w:rPr>
        <w:t>加强</w:t>
      </w:r>
      <w:r>
        <w:t>人口政策与产业、国土空间规划等衔接，推动人口数量、质量、结构、分布与经济布局相对均衡。完善流动人口服务管理体制机制，提高流动人口管理水平。强化生育政策的配套衔接，提高优生优育服务水平，降低生育、养育、教育成本，强化出生缺陷防治和干预，加强出生人口性别比综合治理，促进人口长期均衡发展，改善人口素质和结构。发展普惠托育服务体系，</w:t>
      </w:r>
      <w:r>
        <w:rPr>
          <w:rFonts w:hint="eastAsia"/>
        </w:rPr>
        <w:t>加快完善标准规范，</w:t>
      </w:r>
      <w:r>
        <w:t>逐步提高3岁以下婴幼儿照护服务能力和水平，加快发展多种形式的婴幼儿照护服务机构，鼓励用人单位提供福利性婴幼儿照护服务，鼓励幼儿园开设托幼班。到2025年，每千人口拥有婴幼儿托位数不少于5.5个，普惠性托位占总托位的比例争取达到60%。</w:t>
      </w:r>
    </w:p>
    <w:p>
      <w:pPr>
        <w:overflowPunct w:val="0"/>
        <w:spacing w:line="400" w:lineRule="exact"/>
        <w:ind w:firstLine="640"/>
      </w:pPr>
    </w:p>
    <w:tbl>
      <w:tblPr>
        <w:tblStyle w:val="18"/>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9" w:type="dxa"/>
            <w:tcMar>
              <w:top w:w="170" w:type="dxa"/>
              <w:bottom w:w="170" w:type="dxa"/>
            </w:tcMar>
          </w:tcPr>
          <w:p>
            <w:pPr>
              <w:pStyle w:val="26"/>
              <w:overflowPunct w:val="0"/>
              <w:spacing w:line="240" w:lineRule="auto"/>
              <w:rPr>
                <w:b/>
                <w:bCs/>
                <w:szCs w:val="22"/>
              </w:rPr>
            </w:pPr>
            <w:r>
              <w:rPr>
                <w:b/>
                <w:bCs/>
              </w:rPr>
              <w:t>专栏</w:t>
            </w:r>
            <w:r>
              <w:rPr>
                <w:rFonts w:hint="eastAsia"/>
                <w:b/>
                <w:bCs/>
              </w:rPr>
              <w:t>5</w:t>
            </w:r>
            <w:r>
              <w:rPr>
                <w:b/>
                <w:bCs/>
              </w:rPr>
              <w:t xml:space="preserve">  </w:t>
            </w:r>
            <w:r>
              <w:rPr>
                <w:rFonts w:hint="eastAsia"/>
                <w:b/>
                <w:bCs/>
              </w:rPr>
              <w:t>养老和托育服务重点工程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9" w:type="dxa"/>
            <w:tcMar>
              <w:top w:w="113" w:type="dxa"/>
              <w:bottom w:w="113" w:type="dxa"/>
            </w:tcMar>
          </w:tcPr>
          <w:p>
            <w:pPr>
              <w:pStyle w:val="31"/>
              <w:overflowPunct w:val="0"/>
              <w:spacing w:line="240" w:lineRule="auto"/>
              <w:ind w:firstLine="482" w:firstLineChars="200"/>
              <w:jc w:val="both"/>
              <w:rPr>
                <w:rFonts w:eastAsia="仿宋_GB2312"/>
              </w:rPr>
            </w:pPr>
            <w:r>
              <w:rPr>
                <w:rFonts w:hint="eastAsia" w:eastAsia="仿宋_GB2312"/>
                <w:b/>
                <w:bCs/>
              </w:rPr>
              <w:t>1.建设实体长者服务工程</w:t>
            </w:r>
            <w:r>
              <w:rPr>
                <w:rFonts w:hint="eastAsia" w:eastAsia="仿宋_GB2312"/>
              </w:rPr>
              <w:t>。建设市、县（区）长者安养中心，乡镇（街道）长者照护之家，村（社区）长者服务站。</w:t>
            </w:r>
          </w:p>
          <w:p>
            <w:pPr>
              <w:pStyle w:val="31"/>
              <w:overflowPunct w:val="0"/>
              <w:spacing w:line="240" w:lineRule="auto"/>
              <w:ind w:firstLine="482" w:firstLineChars="200"/>
              <w:jc w:val="both"/>
              <w:rPr>
                <w:rFonts w:eastAsia="仿宋_GB2312"/>
              </w:rPr>
            </w:pPr>
            <w:r>
              <w:rPr>
                <w:rFonts w:hint="eastAsia" w:eastAsia="仿宋_GB2312"/>
                <w:b/>
                <w:bCs/>
              </w:rPr>
              <w:t>2.加强医养结合</w:t>
            </w:r>
            <w:r>
              <w:rPr>
                <w:rFonts w:hint="eastAsia" w:eastAsia="仿宋_GB2312"/>
              </w:rPr>
              <w:t>。平均每年建设不少于2间医养结合示范机构，每个县（区）至少建成1家安宁疗护示范机构。</w:t>
            </w:r>
          </w:p>
          <w:p>
            <w:pPr>
              <w:pStyle w:val="31"/>
              <w:overflowPunct w:val="0"/>
              <w:spacing w:line="240" w:lineRule="auto"/>
              <w:ind w:firstLine="482" w:firstLineChars="200"/>
              <w:jc w:val="both"/>
              <w:rPr>
                <w:rFonts w:eastAsia="仿宋_GB2312"/>
              </w:rPr>
            </w:pPr>
            <w:r>
              <w:rPr>
                <w:rFonts w:hint="eastAsia" w:eastAsia="仿宋_GB2312"/>
                <w:b/>
                <w:bCs/>
              </w:rPr>
              <w:t>3.</w:t>
            </w:r>
            <w:r>
              <w:rPr>
                <w:rFonts w:eastAsia="仿宋_GB2312"/>
                <w:b/>
                <w:bCs/>
              </w:rPr>
              <w:t>丰富长者精神生活</w:t>
            </w:r>
            <w:r>
              <w:rPr>
                <w:rFonts w:eastAsia="仿宋_GB2312"/>
              </w:rPr>
              <w:t>。到2022年每个县（区）至少建</w:t>
            </w:r>
            <w:r>
              <w:rPr>
                <w:rFonts w:hint="eastAsia" w:eastAsia="仿宋_GB2312"/>
              </w:rPr>
              <w:t>成</w:t>
            </w:r>
            <w:r>
              <w:rPr>
                <w:rFonts w:eastAsia="仿宋_GB2312"/>
              </w:rPr>
              <w:t>1所老年大学。到2025年，80%以上乡镇（街道）建有老年大学分校，60%以上行政社区（村）建有老年大学学习点，老年志愿者注册人数占老年人口的10%以上。</w:t>
            </w:r>
          </w:p>
          <w:p>
            <w:pPr>
              <w:pStyle w:val="31"/>
              <w:overflowPunct w:val="0"/>
              <w:spacing w:line="240" w:lineRule="auto"/>
              <w:ind w:firstLine="482" w:firstLineChars="200"/>
              <w:jc w:val="both"/>
              <w:rPr>
                <w:rFonts w:eastAsia="仿宋_GB2312"/>
              </w:rPr>
            </w:pPr>
            <w:r>
              <w:rPr>
                <w:rFonts w:hint="eastAsia" w:eastAsia="仿宋_GB2312"/>
                <w:b/>
                <w:bCs/>
              </w:rPr>
              <w:t>4.加快完善普惠托育服务</w:t>
            </w:r>
            <w:r>
              <w:rPr>
                <w:rFonts w:hint="eastAsia" w:eastAsia="仿宋_GB2312"/>
              </w:rPr>
              <w:t>。每个县（区）至少建成1家以上具有带动效应、可承担一定指导功能的示范性婴幼儿照护服务机构，托幼一体园所在公办幼儿园总量中占比不低于50%。新建、改扩建一批嵌入式、分布式、连锁化、专业化的社区托育服务设施，形成基本完善的社区托育服务网，提供全日托、半日托、计时托、临时托等多样化的普惠托育服务。</w:t>
            </w:r>
          </w:p>
        </w:tc>
      </w:tr>
    </w:tbl>
    <w:p>
      <w:pPr>
        <w:overflowPunct w:val="0"/>
        <w:spacing w:line="600" w:lineRule="exact"/>
        <w:ind w:firstLine="643"/>
        <w:rPr>
          <w:b/>
          <w:bCs/>
        </w:rPr>
      </w:pPr>
      <w:r>
        <w:rPr>
          <w:b/>
          <w:bCs/>
        </w:rPr>
        <w:br w:type="page"/>
      </w:r>
    </w:p>
    <w:p>
      <w:pPr>
        <w:pStyle w:val="4"/>
        <w:overflowPunct w:val="0"/>
        <w:rPr>
          <w:rFonts w:ascii="方正小标宋_GBK" w:eastAsia="方正小标宋_GBK"/>
          <w:sz w:val="36"/>
          <w:szCs w:val="36"/>
        </w:rPr>
      </w:pPr>
      <w:bookmarkStart w:id="264" w:name="_Toc16494"/>
      <w:bookmarkStart w:id="265" w:name="_Toc31399"/>
      <w:bookmarkStart w:id="266" w:name="_Toc14314"/>
      <w:bookmarkStart w:id="267" w:name="_Toc29463"/>
      <w:r>
        <w:rPr>
          <w:rFonts w:hint="eastAsia" w:ascii="方正小标宋_GBK" w:eastAsia="方正小标宋_GBK"/>
          <w:sz w:val="36"/>
          <w:szCs w:val="36"/>
        </w:rPr>
        <w:t>第十三章  全面推进依法治市 建设法治惠州</w:t>
      </w:r>
      <w:bookmarkEnd w:id="264"/>
      <w:bookmarkEnd w:id="265"/>
      <w:bookmarkEnd w:id="266"/>
      <w:bookmarkEnd w:id="267"/>
    </w:p>
    <w:p>
      <w:pPr>
        <w:overflowPunct w:val="0"/>
        <w:spacing w:line="600" w:lineRule="exact"/>
        <w:ind w:firstLine="640"/>
      </w:pPr>
    </w:p>
    <w:p>
      <w:pPr>
        <w:overflowPunct w:val="0"/>
        <w:spacing w:line="600" w:lineRule="exact"/>
        <w:ind w:firstLine="640"/>
      </w:pPr>
      <w:r>
        <w:t>坚持依法治国、依法执政、依法行政共同推进，坚持法治国家、法治政府、法治社会一体建设，逐步形成法规规章日趋完善、法治实施更加高效、法治监督更加严密、法治保障更加有力、党内法规制度切实得到遵循的良好局面，推进治理体系和治理能力现代化。</w:t>
      </w:r>
    </w:p>
    <w:p>
      <w:pPr>
        <w:pStyle w:val="9"/>
        <w:overflowPunct w:val="0"/>
        <w:spacing w:line="600" w:lineRule="exact"/>
      </w:pPr>
    </w:p>
    <w:p>
      <w:pPr>
        <w:pStyle w:val="5"/>
        <w:overflowPunct w:val="0"/>
        <w:spacing w:line="600" w:lineRule="exact"/>
      </w:pPr>
      <w:bookmarkStart w:id="268" w:name="_Toc22008"/>
      <w:bookmarkStart w:id="269" w:name="_Toc11398"/>
      <w:bookmarkStart w:id="270" w:name="_Toc21624"/>
      <w:bookmarkStart w:id="271" w:name="_Toc17846"/>
      <w:r>
        <w:t xml:space="preserve">第一节  </w:t>
      </w:r>
      <w:r>
        <w:rPr>
          <w:rFonts w:hint="eastAsia"/>
        </w:rPr>
        <w:t>推进</w:t>
      </w:r>
      <w:r>
        <w:t>法治</w:t>
      </w:r>
      <w:r>
        <w:rPr>
          <w:rFonts w:hint="eastAsia"/>
        </w:rPr>
        <w:t>政府</w:t>
      </w:r>
      <w:r>
        <w:t>建设</w:t>
      </w:r>
      <w:bookmarkEnd w:id="268"/>
      <w:bookmarkEnd w:id="269"/>
      <w:bookmarkEnd w:id="270"/>
      <w:bookmarkEnd w:id="271"/>
    </w:p>
    <w:p>
      <w:pPr>
        <w:overflowPunct w:val="0"/>
        <w:spacing w:line="600" w:lineRule="exact"/>
        <w:ind w:firstLine="643"/>
      </w:pPr>
      <w:r>
        <w:rPr>
          <w:b/>
          <w:bCs/>
        </w:rPr>
        <w:t>完善地方立法体制机制。</w:t>
      </w:r>
      <w:r>
        <w:t>健全向市委请示报告制度，把党的领导贯穿到地方立法工作的全过程和各方面。发挥政府在立法工作中的支撑作用，坚持立改废释并举，完善政府立法工作机制，有序推进城乡建设与管理、环境保护、历史文化保护等领域立法，推进政府立法精细化。完善规章制定程序，强化备案审查工作，健全立法评估机制。</w:t>
      </w:r>
    </w:p>
    <w:p>
      <w:pPr>
        <w:overflowPunct w:val="0"/>
        <w:spacing w:line="600" w:lineRule="exact"/>
        <w:ind w:firstLine="643"/>
        <w:rPr>
          <w:b/>
          <w:bCs/>
        </w:rPr>
      </w:pPr>
      <w:r>
        <w:rPr>
          <w:b/>
          <w:bCs/>
        </w:rPr>
        <w:t>完善行政执法工作体系。</w:t>
      </w:r>
      <w:r>
        <w:t>严格规范公正文明执法，全面推行行政执法公示制度、全过程记录制度、重大执法决定法制审核制度，规范执法自由裁量权，加大关系群众切身利益的重点领域执法力度。健全行政执法与刑事司法衔接机制。加强城乡统筹协调，构建权责明晰执法监管体系。推进跨领域跨部门综合执法改革，深化乡镇街道综合行政执法体制改革，充实基层一线行政执法力量。加强执法队伍建设，提升执法人员法治思维和依法办事能力。全面建成行政执法信息平台和行政执法监督网络平台。</w:t>
      </w:r>
    </w:p>
    <w:p>
      <w:pPr>
        <w:overflowPunct w:val="0"/>
        <w:spacing w:line="600" w:lineRule="exact"/>
        <w:ind w:firstLine="643"/>
      </w:pPr>
      <w:r>
        <w:rPr>
          <w:b/>
          <w:bCs/>
        </w:rPr>
        <w:t>深化司法行政体制改革。</w:t>
      </w:r>
      <w:r>
        <w:t>重点推进律师制度、公证制度、人民陪审员制度、行政复议体制、司法鉴定管理体制改革。建立健全社区矫正制度体系。加强改革效果评估，及时总结经验，注意发现和解决苗头性、倾向性、潜在性问题。</w:t>
      </w:r>
    </w:p>
    <w:p>
      <w:pPr>
        <w:overflowPunct w:val="0"/>
        <w:spacing w:line="600" w:lineRule="exact"/>
        <w:ind w:firstLine="643"/>
        <w:rPr>
          <w:spacing w:val="4"/>
        </w:rPr>
      </w:pPr>
      <w:r>
        <w:rPr>
          <w:b/>
          <w:bCs/>
        </w:rPr>
        <w:t>加强依法科学行政。</w:t>
      </w:r>
      <w:r>
        <w:t>落实党政主要负责人履行推进法治建设第一责任人职责制度，完善重大行政决策目录，坚持民主集中制，科学确定公众参与、专家论证、风险评估的适用条件，完善合法</w:t>
      </w:r>
      <w:r>
        <w:rPr>
          <w:spacing w:val="4"/>
        </w:rPr>
        <w:t>性审查制度，实行终身责任追究制度及责任倒查机制。加强行政权力监督制度建设，完善</w:t>
      </w:r>
      <w:r>
        <w:rPr>
          <w:rFonts w:hint="eastAsia"/>
          <w:spacing w:val="4"/>
        </w:rPr>
        <w:t>党内监督、人大监督、政务监督、政协民主监督、</w:t>
      </w:r>
      <w:r>
        <w:rPr>
          <w:spacing w:val="4"/>
        </w:rPr>
        <w:t>社会监督和舆论监督机制。</w:t>
      </w:r>
    </w:p>
    <w:p>
      <w:pPr>
        <w:pStyle w:val="9"/>
        <w:overflowPunct w:val="0"/>
        <w:spacing w:line="600" w:lineRule="exact"/>
      </w:pPr>
    </w:p>
    <w:p>
      <w:pPr>
        <w:pStyle w:val="5"/>
        <w:overflowPunct w:val="0"/>
        <w:spacing w:line="600" w:lineRule="exact"/>
      </w:pPr>
      <w:bookmarkStart w:id="272" w:name="_Toc29937"/>
      <w:bookmarkStart w:id="273" w:name="_Toc30301"/>
      <w:bookmarkStart w:id="274" w:name="_Toc17801"/>
      <w:bookmarkStart w:id="275" w:name="_Toc19464"/>
      <w:r>
        <w:t>第</w:t>
      </w:r>
      <w:r>
        <w:rPr>
          <w:rFonts w:hint="eastAsia"/>
        </w:rPr>
        <w:t>二</w:t>
      </w:r>
      <w:r>
        <w:t xml:space="preserve">节  </w:t>
      </w:r>
      <w:r>
        <w:rPr>
          <w:rFonts w:hint="eastAsia"/>
        </w:rPr>
        <w:t>加强法治社会建设</w:t>
      </w:r>
      <w:bookmarkEnd w:id="272"/>
      <w:bookmarkEnd w:id="273"/>
      <w:bookmarkEnd w:id="274"/>
      <w:bookmarkEnd w:id="275"/>
    </w:p>
    <w:p>
      <w:pPr>
        <w:overflowPunct w:val="0"/>
        <w:spacing w:line="600" w:lineRule="exact"/>
        <w:ind w:firstLine="643"/>
      </w:pPr>
      <w:r>
        <w:rPr>
          <w:b/>
          <w:bCs/>
        </w:rPr>
        <w:t>提高全民法治意识。</w:t>
      </w:r>
      <w:r>
        <w:t>完善</w:t>
      </w:r>
      <w:r>
        <w:rPr>
          <w:rFonts w:hint="eastAsia"/>
        </w:rPr>
        <w:t>“</w:t>
      </w:r>
      <w:r>
        <w:t>党委领导、政府实施、部门密切配合</w:t>
      </w:r>
      <w:r>
        <w:rPr>
          <w:rFonts w:hint="eastAsia"/>
        </w:rPr>
        <w:t>”</w:t>
      </w:r>
      <w:r>
        <w:t>法治宣传教育机制，以及</w:t>
      </w:r>
      <w:r>
        <w:rPr>
          <w:rFonts w:hint="eastAsia"/>
        </w:rPr>
        <w:t>“</w:t>
      </w:r>
      <w:r>
        <w:t>谁执法谁</w:t>
      </w:r>
      <w:r>
        <w:rPr>
          <w:rFonts w:hint="eastAsia"/>
        </w:rPr>
        <w:t>普法”</w:t>
      </w:r>
      <w:r>
        <w:t>普法责任制，深入开展</w:t>
      </w:r>
      <w:r>
        <w:rPr>
          <w:rFonts w:hint="eastAsia"/>
        </w:rPr>
        <w:t>“</w:t>
      </w:r>
      <w:r>
        <w:t>八五</w:t>
      </w:r>
      <w:r>
        <w:rPr>
          <w:rFonts w:hint="eastAsia"/>
        </w:rPr>
        <w:t>”</w:t>
      </w:r>
      <w:r>
        <w:t>普法规划，开展宪法、民法典宣传教育。开展法治城市、法治县（区）、民主法治示范村（社区）创建活动，积极推进法治乡村建设。加强青少年法治教育。规范建设</w:t>
      </w:r>
      <w:r>
        <w:rPr>
          <w:rFonts w:hint="eastAsia"/>
        </w:rPr>
        <w:t>“</w:t>
      </w:r>
      <w:r>
        <w:t>法德大讲堂</w:t>
      </w:r>
      <w:r>
        <w:rPr>
          <w:rFonts w:hint="eastAsia"/>
        </w:rPr>
        <w:t>”</w:t>
      </w:r>
      <w:r>
        <w:t>，全面提高全民法治意识和道德自觉。</w:t>
      </w:r>
    </w:p>
    <w:p>
      <w:pPr>
        <w:overflowPunct w:val="0"/>
        <w:spacing w:line="600" w:lineRule="exact"/>
        <w:ind w:firstLine="643"/>
      </w:pPr>
      <w:r>
        <w:rPr>
          <w:b/>
          <w:bCs/>
        </w:rPr>
        <w:t>加快推进公共法律服务体系建设。</w:t>
      </w:r>
      <w:r>
        <w:t>加强线上和线下公共法律服务平台建设。推进法律援助工作，推动法律服务资源向欠发达地区、弱势群体倾斜，促进基本公共法律服务均衡发展。大力发展律师、公证、仲裁等现代法律服务业，促进公共法律服务多元化、专业化。创新公共法律服务管理体制和工作机制。基本建成覆盖城乡、便捷高效、普惠均等的现代公共法律服务体系。</w:t>
      </w:r>
    </w:p>
    <w:p>
      <w:pPr>
        <w:overflowPunct w:val="0"/>
        <w:spacing w:line="600" w:lineRule="exact"/>
        <w:ind w:firstLine="640"/>
      </w:pPr>
    </w:p>
    <w:p>
      <w:pPr>
        <w:pStyle w:val="5"/>
        <w:overflowPunct w:val="0"/>
        <w:spacing w:line="600" w:lineRule="exact"/>
      </w:pPr>
      <w:bookmarkStart w:id="276" w:name="_Toc26636"/>
      <w:bookmarkStart w:id="277" w:name="_Toc17966"/>
      <w:bookmarkStart w:id="278" w:name="_Toc20161"/>
      <w:bookmarkStart w:id="279" w:name="_Toc11759"/>
      <w:r>
        <w:t>第三节  深化司法体制改革</w:t>
      </w:r>
      <w:bookmarkEnd w:id="276"/>
      <w:bookmarkEnd w:id="277"/>
      <w:bookmarkEnd w:id="278"/>
      <w:bookmarkEnd w:id="279"/>
    </w:p>
    <w:p>
      <w:pPr>
        <w:overflowPunct w:val="0"/>
        <w:spacing w:line="600" w:lineRule="exact"/>
        <w:ind w:firstLine="643"/>
      </w:pPr>
      <w:r>
        <w:rPr>
          <w:b/>
          <w:bCs/>
        </w:rPr>
        <w:t>全面落实司法责任制。</w:t>
      </w:r>
      <w:r>
        <w:t>深化司法体制综合配套改革，建立健全与司法权运行相适应的监督制约体系。优化各级法院职能定位，完善法院组织机构体系，深化与行政区划适当分离的司法管辖制度改革。完善法官、检察官员额动态管理机制、业绩评价机制和惩戒机制。</w:t>
      </w:r>
    </w:p>
    <w:p>
      <w:pPr>
        <w:overflowPunct w:val="0"/>
        <w:spacing w:line="600" w:lineRule="exact"/>
        <w:ind w:firstLine="643"/>
      </w:pPr>
      <w:r>
        <w:rPr>
          <w:b/>
          <w:bCs/>
        </w:rPr>
        <w:t>深化以审判为中心的刑事诉讼制度改革。</w:t>
      </w:r>
      <w:r>
        <w:t>坚持科学司法理念为引领，推进司法证明实质化、控辩对抗实质化、依法裁判实质化，确保庭审发挥决定性作用。严格落实繁简分流机制，完善轻刑快判运行机制，积极推进认罪认罚从宽制度改革。推进跨部门大数据办案平台建设，实现办案系统互联互通、业务协同。深化涉案财物集中管理制度改革。</w:t>
      </w:r>
    </w:p>
    <w:p>
      <w:pPr>
        <w:pStyle w:val="9"/>
        <w:overflowPunct w:val="0"/>
        <w:spacing w:line="600" w:lineRule="exact"/>
      </w:pPr>
    </w:p>
    <w:p>
      <w:pPr>
        <w:pStyle w:val="5"/>
        <w:overflowPunct w:val="0"/>
        <w:spacing w:line="600" w:lineRule="exact"/>
      </w:pPr>
      <w:bookmarkStart w:id="280" w:name="_Toc7015"/>
      <w:bookmarkStart w:id="281" w:name="_Toc13912"/>
      <w:bookmarkStart w:id="282" w:name="_Toc12788"/>
      <w:bookmarkStart w:id="283" w:name="_Toc8621"/>
      <w:r>
        <w:t>第</w:t>
      </w:r>
      <w:r>
        <w:rPr>
          <w:rFonts w:hint="eastAsia"/>
        </w:rPr>
        <w:t>四</w:t>
      </w:r>
      <w:r>
        <w:t xml:space="preserve">节  </w:t>
      </w:r>
      <w:r>
        <w:rPr>
          <w:rFonts w:hint="eastAsia"/>
        </w:rPr>
        <w:t>创新完善社会治理</w:t>
      </w:r>
      <w:bookmarkEnd w:id="280"/>
      <w:bookmarkEnd w:id="281"/>
      <w:bookmarkEnd w:id="282"/>
      <w:bookmarkEnd w:id="283"/>
    </w:p>
    <w:p>
      <w:pPr>
        <w:overflowPunct w:val="0"/>
        <w:spacing w:line="600" w:lineRule="exact"/>
        <w:ind w:firstLine="643"/>
      </w:pPr>
      <w:r>
        <w:rPr>
          <w:b/>
          <w:bCs/>
        </w:rPr>
        <w:t>构建基层社会治理新格局。</w:t>
      </w:r>
      <w:r>
        <w:t>完善网格化管理和服务，整合党建、综治、城管、消防等网格，构建基层网格化管理服务平台，实行基层治理</w:t>
      </w:r>
      <w:r>
        <w:rPr>
          <w:rFonts w:hint="eastAsia"/>
        </w:rPr>
        <w:t>“</w:t>
      </w:r>
      <w:r>
        <w:t>一张网</w:t>
      </w:r>
      <w:r>
        <w:rPr>
          <w:rFonts w:hint="eastAsia"/>
        </w:rPr>
        <w:t>”</w:t>
      </w:r>
      <w:r>
        <w:t>管到底。完善城乡社区治理体制机制，增强乡镇街道社会治理和服务功能，减轻基层特别是村级组织负担。完善城乡结合部、城中村、流动人口集聚地的社区设置。深入推进市域社会治理现代化，建立健全市域治理领导机制和社会治理链条，综合运用大数据、人工智能等现代技术提升基层治理效能。全面推进市、县（区）、</w:t>
      </w:r>
      <w:r>
        <w:rPr>
          <w:rFonts w:hint="eastAsia"/>
        </w:rPr>
        <w:t>乡</w:t>
      </w:r>
      <w:r>
        <w:t>镇（街</w:t>
      </w:r>
      <w:r>
        <w:rPr>
          <w:rFonts w:hint="eastAsia"/>
        </w:rPr>
        <w:t>道</w:t>
      </w:r>
      <w:r>
        <w:t>）三级综治中心规范化建设，在全市综治中心建立社会心理服务站，健全完善</w:t>
      </w:r>
      <w:r>
        <w:rPr>
          <w:rFonts w:hint="eastAsia"/>
        </w:rPr>
        <w:t>“</w:t>
      </w:r>
      <w:r>
        <w:t>一村（居）一法律顾问</w:t>
      </w:r>
      <w:r>
        <w:rPr>
          <w:rFonts w:hint="eastAsia"/>
        </w:rPr>
        <w:t>”“</w:t>
      </w:r>
      <w:r>
        <w:t>一村（居）一社工</w:t>
      </w:r>
      <w:r>
        <w:rPr>
          <w:rFonts w:hint="eastAsia"/>
        </w:rPr>
        <w:t>”</w:t>
      </w:r>
      <w:r>
        <w:t>基层治理制度，推进</w:t>
      </w:r>
      <w:r>
        <w:rPr>
          <w:rFonts w:hint="eastAsia"/>
        </w:rPr>
        <w:t>“</w:t>
      </w:r>
      <w:r>
        <w:t>一村（居）一警</w:t>
      </w:r>
      <w:r>
        <w:rPr>
          <w:rFonts w:hint="eastAsia"/>
        </w:rPr>
        <w:t>”</w:t>
      </w:r>
      <w:r>
        <w:t>机制提档升级。</w:t>
      </w:r>
    </w:p>
    <w:p>
      <w:pPr>
        <w:overflowPunct w:val="0"/>
        <w:spacing w:line="600" w:lineRule="exact"/>
        <w:ind w:firstLine="643"/>
        <w:rPr>
          <w:b/>
          <w:bCs/>
        </w:rPr>
      </w:pPr>
      <w:r>
        <w:rPr>
          <w:b/>
          <w:bCs/>
        </w:rPr>
        <w:t>坚持和发展新时代</w:t>
      </w:r>
      <w:r>
        <w:rPr>
          <w:rFonts w:hint="eastAsia"/>
          <w:b/>
          <w:bCs/>
        </w:rPr>
        <w:t>“</w:t>
      </w:r>
      <w:r>
        <w:rPr>
          <w:b/>
          <w:bCs/>
        </w:rPr>
        <w:t>枫桥经验</w:t>
      </w:r>
      <w:r>
        <w:rPr>
          <w:rFonts w:hint="eastAsia"/>
          <w:b/>
          <w:bCs/>
        </w:rPr>
        <w:t>”</w:t>
      </w:r>
      <w:r>
        <w:rPr>
          <w:b/>
          <w:bCs/>
        </w:rPr>
        <w:t>。</w:t>
      </w:r>
      <w:r>
        <w:t>健全党组织领导的自治、法治、德治相结合的城乡基层治理体系，畅通和规范群众诉求表达、利益协调、权益保障通道，完善人民调解、行政调解、司法调解联动工作体系。健全社会稳定风险评估机制，高度重视</w:t>
      </w:r>
      <w:r>
        <w:rPr>
          <w:rFonts w:hint="eastAsia"/>
        </w:rPr>
        <w:t>“</w:t>
      </w:r>
      <w:r>
        <w:t>弱信号</w:t>
      </w:r>
      <w:r>
        <w:rPr>
          <w:rFonts w:hint="eastAsia"/>
        </w:rPr>
        <w:t>”</w:t>
      </w:r>
      <w:r>
        <w:t>，强化对矛盾风险各环节的动态把控。全面促进社会融合，拓展非户籍常住人口参与社会治理的途径，畅通和规范市场主体、新社会阶层、社会工作者和志愿者等参与社会治理的途径，加强在惠外国人服务管理和国际化社区治理。</w:t>
      </w:r>
    </w:p>
    <w:p>
      <w:pPr>
        <w:overflowPunct w:val="0"/>
        <w:spacing w:line="600" w:lineRule="exact"/>
        <w:ind w:firstLine="643"/>
        <w:jc w:val="left"/>
      </w:pPr>
      <w:r>
        <w:rPr>
          <w:b/>
          <w:bCs/>
        </w:rPr>
        <w:t>推进社会治安防控体系建设。</w:t>
      </w:r>
      <w:r>
        <w:t>完善群防群治机制，打造城乡统筹、网上网下融合、人防物防技防结合、打防管控建一体的社会治安防控新格局。持续深化科技兴警，全面构建以大数据为核心，以智慧警务为支撑的社会治安防控网；推动</w:t>
      </w:r>
      <w:r>
        <w:rPr>
          <w:rFonts w:hint="eastAsia"/>
        </w:rPr>
        <w:t>“</w:t>
      </w:r>
      <w:r>
        <w:t>雪亮工程</w:t>
      </w:r>
      <w:r>
        <w:rPr>
          <w:rFonts w:hint="eastAsia"/>
        </w:rPr>
        <w:t>”</w:t>
      </w:r>
      <w:r>
        <w:t>建设，深化视频图像数据建模及应用；大力推进警务云工程建设，提高警用数字集群（PDT）系统覆盖率和终端配备率。完善多警种合成侦查模式。完善境外人员入境安全审查体系和</w:t>
      </w:r>
      <w:r>
        <w:rPr>
          <w:rFonts w:hint="eastAsia"/>
        </w:rPr>
        <w:t>“</w:t>
      </w:r>
      <w:r>
        <w:t>三非</w:t>
      </w:r>
      <w:r>
        <w:rPr>
          <w:rFonts w:hint="eastAsia"/>
        </w:rPr>
        <w:t>”</w:t>
      </w:r>
      <w:r>
        <w:t>外国人治理体系。持续整治治安突出问题，巩固提升专项整治成果，完善跨部门、跨区域治理牵头责任制，建立健全预防和遏制黑恶势力犯罪的长效机制，提升打击新型犯罪能力。大力推进政法队伍革命化正规化专业化职业化建设。</w:t>
      </w:r>
    </w:p>
    <w:p>
      <w:pPr>
        <w:overflowPunct w:val="0"/>
        <w:spacing w:line="600" w:lineRule="exact"/>
        <w:ind w:firstLine="640"/>
        <w:jc w:val="left"/>
      </w:pPr>
    </w:p>
    <w:p>
      <w:pPr>
        <w:overflowPunct w:val="0"/>
        <w:spacing w:line="600" w:lineRule="exact"/>
        <w:ind w:firstLine="640"/>
        <w:jc w:val="left"/>
      </w:pPr>
      <w:r>
        <w:br w:type="page"/>
      </w:r>
    </w:p>
    <w:p>
      <w:pPr>
        <w:pStyle w:val="4"/>
        <w:overflowPunct w:val="0"/>
        <w:rPr>
          <w:rFonts w:ascii="方正小标宋_GBK" w:eastAsia="方正小标宋_GBK"/>
          <w:sz w:val="36"/>
          <w:szCs w:val="36"/>
        </w:rPr>
      </w:pPr>
      <w:bookmarkStart w:id="284" w:name="_Toc28300"/>
      <w:bookmarkStart w:id="285" w:name="_Toc247"/>
      <w:bookmarkStart w:id="286" w:name="_Toc4778"/>
      <w:bookmarkStart w:id="287" w:name="_Toc21638"/>
      <w:r>
        <w:rPr>
          <w:rFonts w:hint="eastAsia" w:ascii="方正小标宋_GBK" w:eastAsia="方正小标宋_GBK"/>
          <w:sz w:val="36"/>
          <w:szCs w:val="36"/>
        </w:rPr>
        <w:t>第十四章  统筹发展和安全 建设平安惠州</w:t>
      </w:r>
      <w:bookmarkEnd w:id="284"/>
      <w:bookmarkEnd w:id="285"/>
      <w:bookmarkEnd w:id="286"/>
      <w:bookmarkEnd w:id="287"/>
    </w:p>
    <w:p>
      <w:pPr>
        <w:overflowPunct w:val="0"/>
        <w:spacing w:line="600" w:lineRule="exact"/>
        <w:ind w:firstLine="640"/>
      </w:pPr>
    </w:p>
    <w:p>
      <w:pPr>
        <w:overflowPunct w:val="0"/>
        <w:spacing w:line="600" w:lineRule="exact"/>
        <w:ind w:firstLine="640"/>
      </w:pPr>
      <w:r>
        <w:rPr>
          <w:rFonts w:hint="eastAsia"/>
        </w:rPr>
        <w:t>落实</w:t>
      </w:r>
      <w:r>
        <w:t>国家安全战略</w:t>
      </w:r>
      <w:r>
        <w:rPr>
          <w:rFonts w:hint="eastAsia"/>
        </w:rPr>
        <w:t>部署</w:t>
      </w:r>
      <w:r>
        <w:t>，处理好发展和安全的关系，统筹传统安全和非传统安全，把安全发展贯穿发展各领域和全过程，防范和化解影响现代化进程的各种风险，筑牢国家安全屏障，营造有利于经济社会发展的安全环境。</w:t>
      </w:r>
    </w:p>
    <w:p>
      <w:pPr>
        <w:overflowPunct w:val="0"/>
        <w:spacing w:line="600" w:lineRule="exact"/>
        <w:ind w:firstLine="640"/>
      </w:pPr>
    </w:p>
    <w:p>
      <w:pPr>
        <w:pStyle w:val="5"/>
        <w:overflowPunct w:val="0"/>
        <w:spacing w:line="600" w:lineRule="exact"/>
      </w:pPr>
      <w:bookmarkStart w:id="288" w:name="_Toc16978"/>
      <w:bookmarkStart w:id="289" w:name="_Toc2694"/>
      <w:bookmarkStart w:id="290" w:name="_Toc14702"/>
      <w:bookmarkStart w:id="291" w:name="_Toc20186"/>
      <w:r>
        <w:t>第</w:t>
      </w:r>
      <w:r>
        <w:rPr>
          <w:rFonts w:hint="eastAsia"/>
        </w:rPr>
        <w:t>一</w:t>
      </w:r>
      <w:r>
        <w:t xml:space="preserve">节  </w:t>
      </w:r>
      <w:r>
        <w:rPr>
          <w:rFonts w:hint="eastAsia"/>
        </w:rPr>
        <w:t>维护国家安全</w:t>
      </w:r>
      <w:bookmarkEnd w:id="288"/>
      <w:bookmarkEnd w:id="289"/>
      <w:bookmarkEnd w:id="290"/>
      <w:bookmarkEnd w:id="291"/>
    </w:p>
    <w:p>
      <w:pPr>
        <w:overflowPunct w:val="0"/>
        <w:spacing w:line="600" w:lineRule="exact"/>
        <w:ind w:firstLine="640"/>
      </w:pPr>
      <w:r>
        <w:t>坚持总体国家安全观，加强国家安全体系和能力建设。严格执行国家安全法律法规，健全政策体系、人才体系和运行机制，提升保障国家安全的能力。深入开展维护政治安全专项行动，坚定维护国家政权安全、制度安全、意识形态安全，严密防范和严厉打击敌对势力渗透、破坏、颠覆、分裂活动。加强重点领域政治安全风险隐患排查管控，防止向政治领域传导。加强国家安全宣传教育，增强全民国家安全意识，巩固国家安全人民防线。强化个人信息保护和数据安全管理。推进网络安全产业发展。推进国防动员专业队伍能力建设，健全组织指挥、城市综合防护及重要经济目标防护体系。</w:t>
      </w:r>
    </w:p>
    <w:p>
      <w:pPr>
        <w:overflowPunct w:val="0"/>
        <w:spacing w:line="600" w:lineRule="exact"/>
        <w:ind w:firstLine="640"/>
      </w:pPr>
    </w:p>
    <w:p>
      <w:pPr>
        <w:pStyle w:val="5"/>
        <w:overflowPunct w:val="0"/>
        <w:spacing w:line="600" w:lineRule="exact"/>
      </w:pPr>
      <w:bookmarkStart w:id="292" w:name="_Toc10434"/>
      <w:bookmarkStart w:id="293" w:name="_Toc31902"/>
      <w:bookmarkStart w:id="294" w:name="_Toc27150"/>
      <w:bookmarkStart w:id="295" w:name="_Toc13751"/>
      <w:r>
        <w:rPr>
          <w:rFonts w:hint="eastAsia"/>
        </w:rPr>
        <w:t>第二节  确保经济安全</w:t>
      </w:r>
      <w:bookmarkEnd w:id="292"/>
      <w:bookmarkEnd w:id="293"/>
      <w:bookmarkEnd w:id="294"/>
      <w:bookmarkEnd w:id="295"/>
    </w:p>
    <w:p>
      <w:pPr>
        <w:overflowPunct w:val="0"/>
        <w:spacing w:line="600" w:lineRule="exact"/>
        <w:ind w:firstLine="643"/>
      </w:pPr>
      <w:r>
        <w:rPr>
          <w:b/>
          <w:bCs/>
        </w:rPr>
        <w:t>确保产业链供应链安全。</w:t>
      </w:r>
      <w:r>
        <w:t>抢抓疫情中全球供应链布局调整的机遇，培育壮大融入新发展格局的产业链供应链。聚焦电子信息等重点产业</w:t>
      </w:r>
      <w:r>
        <w:rPr>
          <w:rFonts w:hint="eastAsia"/>
        </w:rPr>
        <w:t>“</w:t>
      </w:r>
      <w:r>
        <w:t>缺芯少</w:t>
      </w:r>
      <w:r>
        <w:rPr>
          <w:rFonts w:hint="eastAsia"/>
        </w:rPr>
        <w:t>核”</w:t>
      </w:r>
      <w:r>
        <w:t>的问题，补齐产业链供应链短板，支持有进口替代潜力的本土企业做大做强，建立线上线下产业链供应链对接平台，引导行业领军企业将有实力的中小企业纳入供应链体系，推进供给主体多元化和供给体系优化升级。锻造产业链供应链长板，立足石化和电子产业规模优势、配套优势，培育一批控制力和根植力强的产业生态主导企业、产业链</w:t>
      </w:r>
      <w:r>
        <w:rPr>
          <w:rFonts w:hint="eastAsia"/>
        </w:rPr>
        <w:t>“</w:t>
      </w:r>
      <w:r>
        <w:t>链主</w:t>
      </w:r>
      <w:r>
        <w:rPr>
          <w:rFonts w:hint="eastAsia"/>
        </w:rPr>
        <w:t>”</w:t>
      </w:r>
      <w:r>
        <w:t>企业，推动组建行业或产业联盟，构建大中小企业融通发展的企业集群，留住产业链关键环节。推动深圳都市圈产业协同发展，建立信息对接、权益共享、税收分成等政策体系，构建都市圈优势互补产业链。</w:t>
      </w:r>
    </w:p>
    <w:p>
      <w:pPr>
        <w:overflowPunct w:val="0"/>
        <w:spacing w:line="600" w:lineRule="exact"/>
        <w:ind w:firstLine="643"/>
      </w:pPr>
      <w:r>
        <w:rPr>
          <w:b/>
          <w:bCs/>
        </w:rPr>
        <w:t>确保粮食安全。</w:t>
      </w:r>
      <w:r>
        <w:rPr>
          <w:rFonts w:hint="eastAsia"/>
        </w:rPr>
        <w:t>始终绷紧粮食安全这根弦，坚决落实“米袋子”党政同责，毫不放松抓好粮食供给，</w:t>
      </w:r>
      <w:r>
        <w:t>落实最严格的耕地保护制度，深入实施藏粮于地、藏粮于技战略，完善耕地占补平衡政策，稳步推进涉农资金统筹整合，加快农业科技创新，巩固提升粮食生产能力。发挥各地农业资源比较优势，实行适区适种。严格落实各级粮食安全责任制，创新体制机制，加强粮食储备安全管理，推动储备适度集中，实行储</w:t>
      </w:r>
      <w:r>
        <w:rPr>
          <w:rFonts w:hint="eastAsia"/>
        </w:rPr>
        <w:t>粮</w:t>
      </w:r>
      <w:r>
        <w:t>精细化管理，健全完善应急保障体系，提升智能化信息化管理水平。</w:t>
      </w:r>
    </w:p>
    <w:p>
      <w:pPr>
        <w:overflowPunct w:val="0"/>
        <w:spacing w:line="600" w:lineRule="exact"/>
        <w:ind w:firstLine="643"/>
      </w:pPr>
      <w:r>
        <w:rPr>
          <w:b/>
          <w:bCs/>
        </w:rPr>
        <w:t>保障意识形态网络安全。</w:t>
      </w:r>
      <w:r>
        <w:t>全面贯彻党委（党组）意识形态工作责任制，建立常态高效的意识形态专班和联席研判制度，防范化解意识形态领域重大风险。加强网络综合治理力度，常态化开展</w:t>
      </w:r>
      <w:r>
        <w:rPr>
          <w:rFonts w:hint="eastAsia"/>
        </w:rPr>
        <w:t>“</w:t>
      </w:r>
      <w:r>
        <w:t>清朗</w:t>
      </w:r>
      <w:r>
        <w:rPr>
          <w:rFonts w:hint="eastAsia"/>
        </w:rPr>
        <w:t>”</w:t>
      </w:r>
      <w:r>
        <w:t>专项行动，重拳打击网络政治谣言等有害信息。健全完善网络舆情应急管控工作机制，推进市网络安全应急指挥中心建设。落实网络安全责任制，加强网络安全监督，完善网络安全检查机制，加强网络安全应急演练，强化网络安全人才技术支撑。</w:t>
      </w:r>
    </w:p>
    <w:p>
      <w:pPr>
        <w:overflowPunct w:val="0"/>
        <w:spacing w:line="600" w:lineRule="exact"/>
        <w:ind w:firstLine="643"/>
      </w:pPr>
      <w:r>
        <w:rPr>
          <w:b/>
          <w:bCs/>
        </w:rPr>
        <w:t>保障能源安全。</w:t>
      </w:r>
      <w:r>
        <w:t>坚持底线思维、红线意识，加强部门间、领域间、央地间协调联动，全面加强核安全综合保障，重点保障核电厂运行安全，强化风险评估和联防联控，大力培育核安全文化。大力发展清洁能源，部署研究先进储能等战略性前沿技术，集中力量突破一批关键重大技术装备，推进核电、风电、LNG发电等电源项目建设，全面提升能源供应能力，完善能源应急预案。强化油气管道、重要输电通道等重要能源基础设施安全防护。</w:t>
      </w:r>
    </w:p>
    <w:p>
      <w:pPr>
        <w:overflowPunct w:val="0"/>
        <w:spacing w:line="600" w:lineRule="exact"/>
        <w:ind w:firstLine="643"/>
      </w:pPr>
      <w:r>
        <w:rPr>
          <w:b/>
          <w:bCs/>
        </w:rPr>
        <w:t>保障水资源安全。</w:t>
      </w:r>
      <w:r>
        <w:t>落实最严格的水资源管理制度，大力实施节水行动，强化水资源的刚性约束。</w:t>
      </w:r>
      <w:r>
        <w:rPr>
          <w:rFonts w:hint="eastAsia"/>
        </w:rPr>
        <w:t>加强</w:t>
      </w:r>
      <w:r>
        <w:t>水功能区纳污总量控制红线</w:t>
      </w:r>
      <w:r>
        <w:rPr>
          <w:rFonts w:hint="eastAsia"/>
        </w:rPr>
        <w:t>管理</w:t>
      </w:r>
      <w:r>
        <w:t>。完善集中式饮用水水源地水质污染事件应急处置方案，加快设置供水水源保护区，排查和清理各水源保护区内的污染源。加强对主要河流、中大型水库进行水资源监测管理，对重要供水区域实施双水源、多水源供水方式，完善供水保障应急处置方案。</w:t>
      </w:r>
    </w:p>
    <w:p>
      <w:pPr>
        <w:overflowPunct w:val="0"/>
        <w:spacing w:line="600" w:lineRule="exact"/>
        <w:ind w:firstLine="643"/>
      </w:pPr>
      <w:r>
        <w:rPr>
          <w:b/>
          <w:bCs/>
        </w:rPr>
        <w:t>完善应急物资储备体系。</w:t>
      </w:r>
      <w:r>
        <w:t>充分发挥市场机制作用，建立政府储备目录及动态管理制度，推行实物储备与产能储备相结合。完善应急物资保障网络布局，建立健全多元参与、分级高效的应急物资保障体系，实现应急物资的常态</w:t>
      </w:r>
      <w:r>
        <w:rPr>
          <w:rFonts w:hint="eastAsia"/>
        </w:rPr>
        <w:t>化</w:t>
      </w:r>
      <w:r>
        <w:t>储备归口管理、应急调度集中统一。完善跨县区应急物资资源共享和协调保障的机制。</w:t>
      </w:r>
    </w:p>
    <w:p>
      <w:pPr>
        <w:pStyle w:val="5"/>
        <w:overflowPunct w:val="0"/>
        <w:spacing w:line="600" w:lineRule="exact"/>
      </w:pPr>
      <w:bookmarkStart w:id="296" w:name="_Toc2809"/>
      <w:bookmarkStart w:id="297" w:name="_Toc19552"/>
      <w:bookmarkStart w:id="298" w:name="_Toc29459"/>
      <w:bookmarkStart w:id="299" w:name="_Toc325"/>
      <w:r>
        <w:rPr>
          <w:rFonts w:hint="eastAsia"/>
        </w:rPr>
        <w:t>第三节  保障公共安全</w:t>
      </w:r>
      <w:bookmarkEnd w:id="296"/>
      <w:bookmarkEnd w:id="297"/>
      <w:bookmarkEnd w:id="298"/>
      <w:bookmarkEnd w:id="299"/>
    </w:p>
    <w:p>
      <w:pPr>
        <w:overflowPunct w:val="0"/>
        <w:spacing w:line="600" w:lineRule="exact"/>
        <w:ind w:firstLine="643"/>
      </w:pPr>
      <w:r>
        <w:rPr>
          <w:b/>
          <w:bCs/>
        </w:rPr>
        <w:t>完善和落实安全生产责任制。</w:t>
      </w:r>
      <w:r>
        <w:t>实行党政同责、一岗双责、齐抓共管、失职追责，全面推行安全生产</w:t>
      </w:r>
      <w:r>
        <w:rPr>
          <w:rFonts w:hint="eastAsia"/>
        </w:rPr>
        <w:t>“</w:t>
      </w:r>
      <w:r>
        <w:t>一线三排</w:t>
      </w:r>
      <w:r>
        <w:rPr>
          <w:rFonts w:hint="eastAsia"/>
        </w:rPr>
        <w:t>”</w:t>
      </w:r>
      <w:r>
        <w:rPr>
          <w:rStyle w:val="21"/>
        </w:rPr>
        <w:footnoteReference w:id="14"/>
      </w:r>
      <w:r>
        <w:t>工作机制</w:t>
      </w:r>
      <w:r>
        <w:rPr>
          <w:rFonts w:hint="eastAsia"/>
        </w:rPr>
        <w:t>，提升防范化解系统性重大安全风险能力</w:t>
      </w:r>
      <w:r>
        <w:t>。完善对危险化学品和烟花爆竹、</w:t>
      </w:r>
      <w:r>
        <w:rPr>
          <w:rFonts w:hint="eastAsia"/>
        </w:rPr>
        <w:t>非煤矿</w:t>
      </w:r>
      <w:r>
        <w:t>矿山、建筑施工、交通、消防等重点领域常态化安全生产隐患排查和治理机制，强化企业安全生产主体责任落实。加强高危行业企业安全生产数据信息化管理，推进安全监管执法网络化进程。</w:t>
      </w:r>
    </w:p>
    <w:p>
      <w:pPr>
        <w:overflowPunct w:val="0"/>
        <w:spacing w:line="600" w:lineRule="exact"/>
        <w:ind w:firstLine="643"/>
      </w:pPr>
      <w:r>
        <w:rPr>
          <w:b/>
          <w:bCs/>
        </w:rPr>
        <w:t>健全应急预案和应急响应机制。</w:t>
      </w:r>
      <w:r>
        <w:t>建立完善突发事件控制和应急体系、应急值守工作制度，完善应急响应程序，加强</w:t>
      </w:r>
      <w:r>
        <w:rPr>
          <w:rFonts w:hint="eastAsia"/>
        </w:rPr>
        <w:t>突发事件</w:t>
      </w:r>
      <w:r>
        <w:t>指挥</w:t>
      </w:r>
      <w:r>
        <w:rPr>
          <w:rFonts w:hint="eastAsia"/>
        </w:rPr>
        <w:t>处置</w:t>
      </w:r>
      <w:r>
        <w:t>和组织协调机制建设，强化不同层级应急预案衔接及政企应急预案的衔接。完善消防救援、应急响应、防灾减灾、水上搜救应急、溢油应急处置等基础设施建设和装备配备，建设高质量综合性消防救援队伍。研究完善消防救援、应急响应等立法。深化应急管理综合行政执法改革，推动消防救援队伍向综合救援转变。建立完善大亚湾石化区、惠州新材料产业园等重点产业园区应急预案。</w:t>
      </w:r>
    </w:p>
    <w:p>
      <w:pPr>
        <w:overflowPunct w:val="0"/>
        <w:spacing w:line="600" w:lineRule="exact"/>
        <w:ind w:firstLine="643"/>
      </w:pPr>
      <w:r>
        <w:rPr>
          <w:b/>
          <w:bCs/>
        </w:rPr>
        <w:t>提高防灾减灾抗灾救灾能力。</w:t>
      </w:r>
      <w:r>
        <w:t>健全防灾减灾救灾管理体制机制，推动实现从注重灾后救助向注重灾前预防转变。</w:t>
      </w:r>
      <w:r>
        <w:rPr>
          <w:rFonts w:hint="eastAsia"/>
        </w:rPr>
        <w:t>完善自然灾害防治体系，健全自然灾害“一体三预”</w:t>
      </w:r>
      <w:r>
        <w:rPr>
          <w:rStyle w:val="21"/>
          <w:rFonts w:hint="eastAsia"/>
        </w:rPr>
        <w:footnoteReference w:id="15"/>
      </w:r>
      <w:r>
        <w:rPr>
          <w:rFonts w:hint="eastAsia"/>
        </w:rPr>
        <w:t>工作机制。加强智慧能力建设，提升气象灾害、地震、地质灾害等多灾种和灾害链综合监测、风险早期识别和预报预警能力。</w:t>
      </w:r>
      <w:r>
        <w:t>推进灾害监测站（台）网建设，加强防灾减灾工程和应急</w:t>
      </w:r>
      <w:r>
        <w:rPr>
          <w:rFonts w:hint="eastAsia"/>
        </w:rPr>
        <w:t>庇</w:t>
      </w:r>
      <w:r>
        <w:t>护场所建设，加快江河控制性工程建设，强化自然灾害隐患排查和风险防控</w:t>
      </w:r>
      <w:r>
        <w:rPr>
          <w:rFonts w:hint="eastAsia"/>
        </w:rPr>
        <w:t>，提升自然灾害防御水平</w:t>
      </w:r>
      <w:r>
        <w:t>。</w:t>
      </w:r>
      <w:r>
        <w:rPr>
          <w:rFonts w:hint="eastAsia"/>
        </w:rPr>
        <w:t>开展“城市体检”，确保城市运行安全。加强基层消防安全管理，推动消防治理重心下移。</w:t>
      </w:r>
      <w:r>
        <w:t>强化火灾防控体系和灭火救援能力建设，筑牢重大产业、城市发展的安全底线。开展综合减灾宣教和科普。</w:t>
      </w:r>
    </w:p>
    <w:p>
      <w:pPr>
        <w:overflowPunct w:val="0"/>
        <w:spacing w:line="600" w:lineRule="exact"/>
        <w:ind w:firstLine="643"/>
      </w:pPr>
      <w:r>
        <w:rPr>
          <w:b/>
          <w:bCs/>
        </w:rPr>
        <w:t>全面提高公共安全保障能力。</w:t>
      </w:r>
      <w:r>
        <w:t>坚持人民至上、生命至上，把保护人民生命安全摆在首位，强化生物安全保护，提</w:t>
      </w:r>
      <w:r>
        <w:rPr>
          <w:rFonts w:hint="eastAsia"/>
        </w:rPr>
        <w:t>升</w:t>
      </w:r>
      <w:r>
        <w:t>食品药品安全保障水平。建立公共安全风险评估制度，推进城市基础设施安全风险防控能力建设。推动智慧消防、智慧海防等应用。根据重大活动和敏感节点的涉稳风险程度，</w:t>
      </w:r>
      <w:r>
        <w:rPr>
          <w:rFonts w:hint="eastAsia"/>
        </w:rPr>
        <w:t>完善</w:t>
      </w:r>
      <w:r>
        <w:t>工作响应机制，健全重大突发事件信息发布和舆情处置联动机制。持续开展城市道路交通综合治理工作，全面提升交通安全管理精细化水平。</w:t>
      </w:r>
    </w:p>
    <w:p>
      <w:pPr>
        <w:overflowPunct w:val="0"/>
        <w:spacing w:line="600" w:lineRule="exact"/>
        <w:ind w:firstLine="640"/>
      </w:pPr>
    </w:p>
    <w:p>
      <w:pPr>
        <w:overflowPunct w:val="0"/>
        <w:spacing w:line="600" w:lineRule="exact"/>
        <w:ind w:firstLine="640"/>
      </w:pPr>
      <w:r>
        <w:br w:type="page"/>
      </w:r>
    </w:p>
    <w:p>
      <w:pPr>
        <w:pStyle w:val="4"/>
        <w:overflowPunct w:val="0"/>
        <w:rPr>
          <w:rFonts w:ascii="方正小标宋_GBK" w:eastAsia="方正小标宋_GBK"/>
          <w:sz w:val="36"/>
          <w:szCs w:val="36"/>
        </w:rPr>
      </w:pPr>
      <w:bookmarkStart w:id="300" w:name="_Toc19935"/>
      <w:bookmarkStart w:id="301" w:name="_Toc29253"/>
      <w:bookmarkStart w:id="302" w:name="_Toc3594"/>
      <w:bookmarkStart w:id="303" w:name="_Toc7305"/>
      <w:r>
        <w:rPr>
          <w:rFonts w:hint="eastAsia" w:ascii="方正小标宋_GBK" w:eastAsia="方正小标宋_GBK"/>
          <w:sz w:val="36"/>
          <w:szCs w:val="36"/>
        </w:rPr>
        <w:t>第十五章  完善规划保障机制 确保规划有效落实</w:t>
      </w:r>
      <w:bookmarkEnd w:id="300"/>
      <w:bookmarkEnd w:id="301"/>
      <w:bookmarkEnd w:id="302"/>
      <w:bookmarkEnd w:id="303"/>
    </w:p>
    <w:p>
      <w:pPr>
        <w:overflowPunct w:val="0"/>
        <w:spacing w:line="600" w:lineRule="exact"/>
        <w:ind w:firstLine="640"/>
      </w:pPr>
    </w:p>
    <w:p>
      <w:pPr>
        <w:overflowPunct w:val="0"/>
        <w:spacing w:line="600" w:lineRule="exact"/>
        <w:ind w:firstLine="640"/>
      </w:pPr>
      <w:r>
        <w:t>充分发挥规划纲要对经济社会发展的统领作用，坚持党的领导，进一步完善规划体系，创新完善规划实施机制，强化监督检查，强化重大载体支撑作用，确保规划有效实施。</w:t>
      </w:r>
    </w:p>
    <w:p>
      <w:pPr>
        <w:overflowPunct w:val="0"/>
        <w:spacing w:line="600" w:lineRule="exact"/>
        <w:ind w:firstLine="640"/>
      </w:pPr>
    </w:p>
    <w:p>
      <w:pPr>
        <w:pStyle w:val="5"/>
        <w:overflowPunct w:val="0"/>
        <w:spacing w:line="600" w:lineRule="exact"/>
      </w:pPr>
      <w:bookmarkStart w:id="304" w:name="_Toc21256"/>
      <w:bookmarkStart w:id="305" w:name="_Toc13080"/>
      <w:bookmarkStart w:id="306" w:name="_Toc23675"/>
      <w:bookmarkStart w:id="307" w:name="_Toc28551"/>
      <w:r>
        <w:t>第一节  加强</w:t>
      </w:r>
      <w:r>
        <w:rPr>
          <w:rFonts w:hint="eastAsia"/>
        </w:rPr>
        <w:t>党的全面领导</w:t>
      </w:r>
      <w:bookmarkEnd w:id="304"/>
      <w:bookmarkEnd w:id="305"/>
      <w:bookmarkEnd w:id="306"/>
      <w:bookmarkEnd w:id="307"/>
    </w:p>
    <w:p>
      <w:pPr>
        <w:overflowPunct w:val="0"/>
        <w:spacing w:line="600" w:lineRule="exact"/>
        <w:ind w:firstLine="640"/>
        <w:rPr>
          <w:spacing w:val="4"/>
        </w:rPr>
      </w:pPr>
      <w:r>
        <w:t>坚持以习近平新时代中国特色社会主义思想为指导，增强</w:t>
      </w:r>
      <w:r>
        <w:rPr>
          <w:rFonts w:hint="eastAsia"/>
        </w:rPr>
        <w:t>“</w:t>
      </w:r>
      <w:r>
        <w:t>四个意识</w:t>
      </w:r>
      <w:r>
        <w:rPr>
          <w:rFonts w:hint="eastAsia"/>
        </w:rPr>
        <w:t>”</w:t>
      </w:r>
      <w:r>
        <w:t>、坚定</w:t>
      </w:r>
      <w:r>
        <w:rPr>
          <w:rFonts w:hint="eastAsia"/>
        </w:rPr>
        <w:t>“</w:t>
      </w:r>
      <w:r>
        <w:t>四个自信</w:t>
      </w:r>
      <w:r>
        <w:rPr>
          <w:rFonts w:hint="eastAsia"/>
        </w:rPr>
        <w:t>”</w:t>
      </w:r>
      <w:r>
        <w:t>、做到</w:t>
      </w:r>
      <w:r>
        <w:rPr>
          <w:rFonts w:hint="eastAsia"/>
        </w:rPr>
        <w:t>“</w:t>
      </w:r>
      <w:r>
        <w:t>两个维护</w:t>
      </w:r>
      <w:r>
        <w:rPr>
          <w:rFonts w:hint="eastAsia"/>
        </w:rPr>
        <w:t>”</w:t>
      </w:r>
      <w:r>
        <w:t>，充分发挥市委总揽全局、协调各方的领导核心作用，贯彻落实市委</w:t>
      </w:r>
      <w:r>
        <w:rPr>
          <w:rFonts w:hint="eastAsia"/>
        </w:rPr>
        <w:t>“</w:t>
      </w:r>
      <w:r>
        <w:t>十四五</w:t>
      </w:r>
      <w:r>
        <w:rPr>
          <w:rFonts w:hint="eastAsia"/>
        </w:rPr>
        <w:t>”</w:t>
      </w:r>
      <w:r>
        <w:t>规划的建议，把党的领导始终贯穿编制实施的全过程。充分发挥各级党组织战斗堡垒作用和党员先锋模范作用，持之以恒落实中央八项规定精神，不断完善整治</w:t>
      </w:r>
      <w:r>
        <w:rPr>
          <w:rFonts w:hint="eastAsia"/>
        </w:rPr>
        <w:t>“</w:t>
      </w:r>
      <w:r>
        <w:t>四风</w:t>
      </w:r>
      <w:r>
        <w:rPr>
          <w:rFonts w:hint="eastAsia"/>
        </w:rPr>
        <w:t>”</w:t>
      </w:r>
      <w:r>
        <w:t>的制度机制，严防和纠正在推进规划实施过程中的形式主义、官僚主义问题，最</w:t>
      </w:r>
      <w:r>
        <w:rPr>
          <w:spacing w:val="4"/>
        </w:rPr>
        <w:t>大限度聚合全社会共识和力量，共同推动</w:t>
      </w:r>
      <w:r>
        <w:rPr>
          <w:rFonts w:hint="eastAsia"/>
          <w:spacing w:val="4"/>
        </w:rPr>
        <w:t>“</w:t>
      </w:r>
      <w:r>
        <w:rPr>
          <w:spacing w:val="4"/>
        </w:rPr>
        <w:t>十四五</w:t>
      </w:r>
      <w:r>
        <w:rPr>
          <w:rFonts w:hint="eastAsia"/>
          <w:spacing w:val="4"/>
        </w:rPr>
        <w:t>”</w:t>
      </w:r>
      <w:r>
        <w:rPr>
          <w:spacing w:val="4"/>
        </w:rPr>
        <w:t>规划蓝图实施。</w:t>
      </w:r>
    </w:p>
    <w:p>
      <w:pPr>
        <w:overflowPunct w:val="0"/>
        <w:spacing w:line="600" w:lineRule="exact"/>
        <w:ind w:firstLine="640"/>
      </w:pPr>
    </w:p>
    <w:p>
      <w:pPr>
        <w:pStyle w:val="5"/>
        <w:overflowPunct w:val="0"/>
        <w:spacing w:line="600" w:lineRule="exact"/>
      </w:pPr>
      <w:bookmarkStart w:id="308" w:name="_Toc29010"/>
      <w:bookmarkStart w:id="309" w:name="_Toc1841"/>
      <w:bookmarkStart w:id="310" w:name="_Toc27354"/>
      <w:bookmarkStart w:id="311" w:name="_Toc21914"/>
      <w:r>
        <w:t xml:space="preserve">第二节  </w:t>
      </w:r>
      <w:r>
        <w:rPr>
          <w:rFonts w:hint="eastAsia"/>
        </w:rPr>
        <w:t>完善规划体系</w:t>
      </w:r>
      <w:bookmarkEnd w:id="308"/>
      <w:bookmarkEnd w:id="309"/>
      <w:bookmarkEnd w:id="310"/>
      <w:bookmarkEnd w:id="311"/>
    </w:p>
    <w:p>
      <w:pPr>
        <w:overflowPunct w:val="0"/>
        <w:spacing w:line="600" w:lineRule="exact"/>
        <w:ind w:firstLine="643"/>
      </w:pPr>
      <w:r>
        <w:rPr>
          <w:b/>
          <w:bCs/>
        </w:rPr>
        <w:t>加强总体规划统领。</w:t>
      </w:r>
      <w:r>
        <w:t>本规划纲要是社会主义现代化战略在规划期内的阶段性部署和安排，主要是阐明未来全市战略意图、明确政府工作重点、引导规范市场主体行为，是经济社会发展的宏伟蓝图，是全市人民共同的行动纲领，是政府履行经济调节、市场监管、社会管理、公共服务、生态环境保护职能的重要依据，是全市其他各级各类规划的总遵循。强化市级国土空间规划的基础作用和专项规划、区域规划的支撑作用。强化市级国土空间总体规划的承上启下作用和对专项规划、详细规划的指导作用。</w:t>
      </w:r>
    </w:p>
    <w:p>
      <w:pPr>
        <w:overflowPunct w:val="0"/>
        <w:spacing w:line="600" w:lineRule="exact"/>
        <w:ind w:firstLine="643"/>
      </w:pPr>
      <w:r>
        <w:rPr>
          <w:b/>
          <w:bCs/>
        </w:rPr>
        <w:t>加强规划衔接协调。</w:t>
      </w:r>
      <w:r>
        <w:t>稳步推进国土空间总体规划编制工作，同步编</w:t>
      </w:r>
      <w:r>
        <w:rPr>
          <w:rFonts w:hint="eastAsia"/>
        </w:rPr>
        <w:t>制</w:t>
      </w:r>
      <w:r>
        <w:t>18个重点专项规划，合理确定一般专项规划和区域规划。市级各类规划和县（区）规划要确保与上位规划、上级规划协调一致，加强各项规划目标特别是约束性指标、发展方向、总体布局、重大政策、重大工程项目、风</w:t>
      </w:r>
      <w:r>
        <w:rPr>
          <w:rFonts w:hint="eastAsia"/>
        </w:rPr>
        <w:t>险</w:t>
      </w:r>
      <w:r>
        <w:t>防控等的统筹衔接，形成以市</w:t>
      </w:r>
      <w:r>
        <w:rPr>
          <w:rFonts w:hint="eastAsia"/>
        </w:rPr>
        <w:t>“</w:t>
      </w:r>
      <w:r>
        <w:t>十四五</w:t>
      </w:r>
      <w:r>
        <w:rPr>
          <w:rFonts w:hint="eastAsia"/>
        </w:rPr>
        <w:t>”</w:t>
      </w:r>
      <w:r>
        <w:t>规划纲要为统领，各类规划定位清晰、功能互补、纵向对接、横向衔接的规划体系。</w:t>
      </w:r>
    </w:p>
    <w:p>
      <w:pPr>
        <w:overflowPunct w:val="0"/>
        <w:spacing w:line="600" w:lineRule="exact"/>
        <w:ind w:firstLine="643"/>
      </w:pPr>
      <w:r>
        <w:rPr>
          <w:b/>
          <w:bCs/>
        </w:rPr>
        <w:t>创新规划管理载体。</w:t>
      </w:r>
      <w:r>
        <w:t>结合</w:t>
      </w:r>
      <w:r>
        <w:rPr>
          <w:rFonts w:hint="eastAsia"/>
        </w:rPr>
        <w:t>“</w:t>
      </w:r>
      <w:r>
        <w:t>数字政府</w:t>
      </w:r>
      <w:r>
        <w:rPr>
          <w:rFonts w:hint="eastAsia"/>
        </w:rPr>
        <w:t>”</w:t>
      </w:r>
      <w:r>
        <w:t>建设，</w:t>
      </w:r>
      <w:r>
        <w:rPr>
          <w:rFonts w:hint="eastAsia"/>
        </w:rPr>
        <w:t>谋划</w:t>
      </w:r>
      <w:r>
        <w:t>统一的市规划综合管理信息平台，加强与国家、省规划综合管理信息平台等相关政务模块的联接和信息共享，将各类规划纳入统一管理，对规划编制和实施进行数据跟踪监测评估，推动规划信息互联互通、归集共享，提高规划编制和管理的科学性。</w:t>
      </w:r>
    </w:p>
    <w:p>
      <w:pPr>
        <w:overflowPunct w:val="0"/>
        <w:spacing w:line="600" w:lineRule="exact"/>
        <w:ind w:firstLine="640"/>
      </w:pPr>
    </w:p>
    <w:p>
      <w:pPr>
        <w:pStyle w:val="5"/>
        <w:overflowPunct w:val="0"/>
        <w:spacing w:line="600" w:lineRule="exact"/>
      </w:pPr>
      <w:bookmarkStart w:id="312" w:name="_Toc27680"/>
      <w:bookmarkStart w:id="313" w:name="_Toc24483"/>
      <w:bookmarkStart w:id="314" w:name="_Toc29651"/>
      <w:bookmarkStart w:id="315" w:name="_Toc11807"/>
      <w:r>
        <w:t>第</w:t>
      </w:r>
      <w:r>
        <w:rPr>
          <w:rFonts w:hint="eastAsia"/>
        </w:rPr>
        <w:t>三</w:t>
      </w:r>
      <w:r>
        <w:t xml:space="preserve">节  </w:t>
      </w:r>
      <w:r>
        <w:rPr>
          <w:rFonts w:hint="eastAsia"/>
        </w:rPr>
        <w:t>健全保障机制</w:t>
      </w:r>
      <w:bookmarkEnd w:id="312"/>
      <w:bookmarkEnd w:id="313"/>
      <w:bookmarkEnd w:id="314"/>
      <w:bookmarkEnd w:id="315"/>
    </w:p>
    <w:p>
      <w:pPr>
        <w:overflowPunct w:val="0"/>
        <w:spacing w:line="600" w:lineRule="exact"/>
        <w:ind w:firstLine="643"/>
      </w:pPr>
      <w:r>
        <w:rPr>
          <w:b/>
          <w:bCs/>
        </w:rPr>
        <w:t>制定年度工作要点。</w:t>
      </w:r>
      <w:r>
        <w:t>围绕规划纲要确定的发展目标和主要任务，加强国民经济和社会发展年度工作计划安排，细化工作分工，明确工作责任，推进各项目标分阶段、按步骤实现。</w:t>
      </w:r>
    </w:p>
    <w:p>
      <w:pPr>
        <w:overflowPunct w:val="0"/>
        <w:spacing w:line="600" w:lineRule="exact"/>
        <w:ind w:firstLine="643"/>
      </w:pPr>
      <w:r>
        <w:rPr>
          <w:b/>
          <w:bCs/>
        </w:rPr>
        <w:t>加强配套政策制定实施。</w:t>
      </w:r>
      <w:r>
        <w:t>强化规划纲要战略导向作用，优化经济社会发展的政策，促进财政、就业、产业、投资、消费、环保、区域等政策协同。围绕规划纲要确定的重大计划、工程和重点领域，在</w:t>
      </w:r>
      <w:r>
        <w:rPr>
          <w:rFonts w:hint="eastAsia"/>
        </w:rPr>
        <w:t>深度融入“双区”建设和</w:t>
      </w:r>
      <w:r>
        <w:t>建设国家创新型城市、现代产业体系、</w:t>
      </w:r>
      <w:r>
        <w:rPr>
          <w:rFonts w:hint="eastAsia"/>
        </w:rPr>
        <w:t>高标准</w:t>
      </w:r>
      <w:r>
        <w:t>市场体系、美丽惠州、</w:t>
      </w:r>
      <w:r>
        <w:rPr>
          <w:rFonts w:hint="eastAsia"/>
        </w:rPr>
        <w:t>更加幸福惠州</w:t>
      </w:r>
      <w:r>
        <w:t>等方面，研究制定一系列重大政策举措。</w:t>
      </w:r>
    </w:p>
    <w:p>
      <w:pPr>
        <w:overflowPunct w:val="0"/>
        <w:spacing w:line="600" w:lineRule="exact"/>
        <w:ind w:firstLine="643"/>
      </w:pPr>
      <w:r>
        <w:rPr>
          <w:b/>
          <w:bCs/>
        </w:rPr>
        <w:t>健全规划修订和考核评价机制。</w:t>
      </w:r>
      <w:r>
        <w:t>强化规划权威性、严肃性，未经法定程序批准，不得随意调整更改各类规划。牵头编制规划的部门要适时组织开展规划实施年度监测分析、中期评估和总结评估。建立分类指导、科学合理的政府绩效考核机制，考核结果</w:t>
      </w:r>
      <w:r>
        <w:rPr>
          <w:spacing w:val="4"/>
        </w:rPr>
        <w:t>作为各级政府领导班子调整和领导干部选拔任用、奖励惩戒的重</w:t>
      </w:r>
      <w:r>
        <w:t>要依据。强化结果应用，自觉接受人大监督、审计监督和社会监督。</w:t>
      </w:r>
    </w:p>
    <w:p>
      <w:pPr>
        <w:overflowPunct w:val="0"/>
        <w:spacing w:line="600" w:lineRule="exact"/>
        <w:ind w:firstLine="640"/>
      </w:pPr>
    </w:p>
    <w:p>
      <w:pPr>
        <w:pStyle w:val="5"/>
        <w:overflowPunct w:val="0"/>
        <w:spacing w:line="600" w:lineRule="exact"/>
      </w:pPr>
      <w:bookmarkStart w:id="316" w:name="_Toc11099"/>
      <w:bookmarkStart w:id="317" w:name="_Toc1046"/>
      <w:bookmarkStart w:id="318" w:name="_Toc25174"/>
      <w:bookmarkStart w:id="319" w:name="_Toc16505"/>
      <w:r>
        <w:t>第</w:t>
      </w:r>
      <w:r>
        <w:rPr>
          <w:rFonts w:hint="eastAsia"/>
        </w:rPr>
        <w:t>四</w:t>
      </w:r>
      <w:r>
        <w:t>节  强化重大项目支撑</w:t>
      </w:r>
      <w:bookmarkEnd w:id="316"/>
      <w:bookmarkEnd w:id="317"/>
      <w:bookmarkEnd w:id="318"/>
      <w:bookmarkEnd w:id="319"/>
    </w:p>
    <w:p>
      <w:pPr>
        <w:overflowPunct w:val="0"/>
        <w:spacing w:line="600" w:lineRule="exact"/>
        <w:ind w:firstLine="643"/>
        <w:rPr>
          <w:highlight w:val="yellow"/>
        </w:rPr>
      </w:pPr>
      <w:r>
        <w:rPr>
          <w:b/>
          <w:bCs/>
        </w:rPr>
        <w:t>科学谋划重大项目。</w:t>
      </w:r>
      <w:r>
        <w:t>充分发挥重大项目对经济社会发展和城市建设的关键性作用，按照谋划引进一批、建设推进一批、建成投产一批</w:t>
      </w:r>
      <w:r>
        <w:rPr>
          <w:rFonts w:hint="eastAsia"/>
        </w:rPr>
        <w:t>“</w:t>
      </w:r>
      <w:r>
        <w:t>三个一批</w:t>
      </w:r>
      <w:r>
        <w:rPr>
          <w:rFonts w:hint="eastAsia"/>
        </w:rPr>
        <w:t>”</w:t>
      </w:r>
      <w:r>
        <w:t>的思路，遴选一批事关全局性、战略性、基础性的重大基础设施项目、重大产业项目和重要民生工程，统筹各方面力量加快推进、尽快建成。</w:t>
      </w:r>
      <w:r>
        <w:rPr>
          <w:rFonts w:hint="eastAsia"/>
        </w:rPr>
        <w:t>“</w:t>
      </w:r>
      <w:r>
        <w:t>十四五</w:t>
      </w:r>
      <w:r>
        <w:rPr>
          <w:rFonts w:hint="eastAsia"/>
        </w:rPr>
        <w:t>”</w:t>
      </w:r>
      <w:r>
        <w:t>期间规划建设重大项目</w:t>
      </w:r>
      <w:r>
        <w:rPr>
          <w:rFonts w:hint="eastAsia"/>
        </w:rPr>
        <w:t>312</w:t>
      </w:r>
      <w:r>
        <w:t>宗，计划总投资</w:t>
      </w:r>
      <w:r>
        <w:rPr>
          <w:rFonts w:hint="eastAsia"/>
        </w:rPr>
        <w:t>14619</w:t>
      </w:r>
      <w:r>
        <w:t>亿元，</w:t>
      </w:r>
      <w:r>
        <w:rPr>
          <w:rFonts w:hint="eastAsia"/>
        </w:rPr>
        <w:t>“</w:t>
      </w:r>
      <w:r>
        <w:t>十四五</w:t>
      </w:r>
      <w:r>
        <w:rPr>
          <w:rFonts w:hint="eastAsia"/>
        </w:rPr>
        <w:t>”</w:t>
      </w:r>
      <w:r>
        <w:t>期间计划投资</w:t>
      </w:r>
      <w:r>
        <w:rPr>
          <w:rFonts w:hint="eastAsia"/>
        </w:rPr>
        <w:t>10316</w:t>
      </w:r>
      <w:r>
        <w:t>亿元。</w:t>
      </w:r>
    </w:p>
    <w:p>
      <w:pPr>
        <w:overflowPunct w:val="0"/>
        <w:spacing w:line="600" w:lineRule="exact"/>
        <w:ind w:firstLine="643"/>
      </w:pPr>
      <w:r>
        <w:rPr>
          <w:b/>
          <w:bCs/>
        </w:rPr>
        <w:t>加强重大项目管理。</w:t>
      </w:r>
      <w:r>
        <w:t>加大项目建设统筹协调力度，强化重大项目前期论证，完善重大项目联动协调机制，把重大项目建设列入政府重要议程，强化层级互动，集中力量保证重大项目顺利推进建设。建立健全项目建设全过程管理的长效监督机制，落实项目建设监管制度。完善政府投资项目后评价制度，提高投资管理水平和效益。</w:t>
      </w:r>
    </w:p>
    <w:p>
      <w:pPr>
        <w:overflowPunct w:val="0"/>
        <w:spacing w:line="600" w:lineRule="exact"/>
        <w:ind w:firstLine="643"/>
      </w:pPr>
      <w:r>
        <w:rPr>
          <w:b/>
          <w:bCs/>
        </w:rPr>
        <w:t>加强重大项目建设要素保障。</w:t>
      </w:r>
      <w:r>
        <w:t>加强资金、土地、能源、人才、科技等要素对</w:t>
      </w:r>
      <w:r>
        <w:rPr>
          <w:rFonts w:hint="eastAsia"/>
        </w:rPr>
        <w:t>项目</w:t>
      </w:r>
      <w:r>
        <w:t>实施的保障作用。优化财政支出结构和政府投资结构，优先安排涉及民生、公共服务和城乡融合等领域的财政支出和项目投入，集中财力保证政府投资重大项目的资金需求。综合利用政府投资补助、专项债、贷款贴息等多种方式，鼓励和引导社会资本投资重大项目。科学调控土地供应，合理调整用地结构，优化土地资源配置和空间布局，优先保证重点发展平台开发、公共服务改善、重大基础设施和高端产业项目建设等方面的土地需求。</w:t>
      </w:r>
    </w:p>
    <w:p>
      <w:pPr>
        <w:overflowPunct w:val="0"/>
        <w:spacing w:line="600" w:lineRule="exact"/>
        <w:ind w:firstLine="640"/>
      </w:pPr>
    </w:p>
    <w:p>
      <w:pPr>
        <w:overflowPunct w:val="0"/>
        <w:spacing w:line="600" w:lineRule="exact"/>
        <w:ind w:firstLine="640"/>
      </w:pPr>
    </w:p>
    <w:p>
      <w:pPr>
        <w:adjustRightInd w:val="0"/>
        <w:snapToGrid w:val="0"/>
        <w:spacing w:line="600" w:lineRule="exact"/>
        <w:ind w:firstLine="640"/>
        <w:rPr>
          <w:rFonts w:ascii="仿宋_GB2312"/>
        </w:rPr>
      </w:pPr>
    </w:p>
    <w:p>
      <w:pPr>
        <w:wordWrap w:val="0"/>
        <w:overflowPunct w:val="0"/>
        <w:spacing w:line="600" w:lineRule="exact"/>
        <w:ind w:firstLine="600"/>
        <w:jc w:val="right"/>
        <w:rPr>
          <w:sz w:val="30"/>
          <w:szCs w:val="30"/>
        </w:rPr>
      </w:pPr>
    </w:p>
    <w:p>
      <w:pPr>
        <w:widowControl/>
        <w:spacing w:line="240" w:lineRule="auto"/>
        <w:ind w:firstLine="0" w:firstLineChars="0"/>
        <w:jc w:val="left"/>
        <w:rPr>
          <w:rFonts w:ascii="黑体" w:hAnsi="黑体" w:eastAsia="黑体"/>
        </w:rPr>
      </w:pPr>
      <w:r>
        <w:rPr>
          <w:rFonts w:ascii="黑体" w:hAnsi="黑体" w:eastAsia="黑体"/>
        </w:rPr>
        <w:br w:type="page"/>
      </w:r>
    </w:p>
    <w:p>
      <w:pPr>
        <w:pStyle w:val="4"/>
        <w:jc w:val="both"/>
        <w:rPr>
          <w:rFonts w:ascii="黑体" w:hAnsi="黑体"/>
        </w:rPr>
      </w:pPr>
      <w:bookmarkStart w:id="320" w:name="_Toc22085"/>
      <w:bookmarkStart w:id="321" w:name="_Toc17554"/>
      <w:r>
        <w:rPr>
          <w:rFonts w:hint="eastAsia" w:ascii="黑体" w:hAnsi="黑体"/>
        </w:rPr>
        <w:t>附</w:t>
      </w:r>
      <w:r>
        <w:t>件1</w:t>
      </w:r>
      <w:bookmarkEnd w:id="320"/>
      <w:bookmarkEnd w:id="321"/>
    </w:p>
    <w:p>
      <w:pPr>
        <w:spacing w:line="300" w:lineRule="exact"/>
        <w:ind w:firstLine="0" w:firstLineChars="0"/>
        <w:jc w:val="center"/>
        <w:rPr>
          <w:rFonts w:eastAsia="方正小标宋_GBK"/>
          <w:szCs w:val="32"/>
        </w:rPr>
      </w:pPr>
    </w:p>
    <w:p>
      <w:pPr>
        <w:spacing w:line="600" w:lineRule="exact"/>
        <w:ind w:firstLine="0" w:firstLineChars="0"/>
        <w:jc w:val="center"/>
        <w:rPr>
          <w:rFonts w:eastAsia="方正小标宋_GBK"/>
          <w:sz w:val="36"/>
          <w:szCs w:val="36"/>
        </w:rPr>
      </w:pPr>
      <w:r>
        <w:rPr>
          <w:rFonts w:eastAsia="方正小标宋_GBK"/>
          <w:sz w:val="36"/>
          <w:szCs w:val="36"/>
        </w:rPr>
        <w:t>惠州市</w:t>
      </w:r>
      <w:r>
        <w:rPr>
          <w:rFonts w:hint="eastAsia" w:ascii="仿宋" w:hAnsi="仿宋" w:eastAsia="仿宋" w:cs="仿宋"/>
          <w:sz w:val="36"/>
          <w:szCs w:val="36"/>
        </w:rPr>
        <w:t>“</w:t>
      </w:r>
      <w:r>
        <w:rPr>
          <w:rFonts w:eastAsia="方正小标宋_GBK"/>
          <w:sz w:val="36"/>
          <w:szCs w:val="36"/>
        </w:rPr>
        <w:t>十四五</w:t>
      </w:r>
      <w:r>
        <w:rPr>
          <w:rFonts w:hint="eastAsia" w:ascii="仿宋" w:hAnsi="仿宋" w:eastAsia="仿宋" w:cs="仿宋"/>
          <w:sz w:val="36"/>
          <w:szCs w:val="36"/>
        </w:rPr>
        <w:t>”</w:t>
      </w:r>
      <w:r>
        <w:rPr>
          <w:rFonts w:eastAsia="方正小标宋_GBK"/>
          <w:sz w:val="36"/>
          <w:szCs w:val="36"/>
        </w:rPr>
        <w:t>重点专项规划目录清单</w:t>
      </w:r>
    </w:p>
    <w:p>
      <w:pPr>
        <w:spacing w:line="400" w:lineRule="exact"/>
        <w:ind w:firstLine="0" w:firstLineChars="0"/>
        <w:jc w:val="center"/>
        <w:rPr>
          <w:rFonts w:eastAsia="方正小标宋_GBK"/>
          <w:szCs w:val="32"/>
        </w:rPr>
      </w:pPr>
    </w:p>
    <w:tbl>
      <w:tblPr>
        <w:tblStyle w:val="17"/>
        <w:tblW w:w="9071" w:type="dxa"/>
        <w:jc w:val="center"/>
        <w:tblLayout w:type="fixed"/>
        <w:tblCellMar>
          <w:top w:w="0" w:type="dxa"/>
          <w:left w:w="0" w:type="dxa"/>
          <w:bottom w:w="0" w:type="dxa"/>
          <w:right w:w="0" w:type="dxa"/>
        </w:tblCellMar>
      </w:tblPr>
      <w:tblGrid>
        <w:gridCol w:w="1318"/>
        <w:gridCol w:w="7753"/>
      </w:tblGrid>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auto"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序号</w:t>
            </w:r>
          </w:p>
        </w:tc>
        <w:tc>
          <w:tcPr>
            <w:tcW w:w="7753" w:type="dxa"/>
            <w:tcBorders>
              <w:top w:val="single" w:color="000000" w:sz="4" w:space="0"/>
              <w:left w:val="single" w:color="000000" w:sz="4" w:space="0"/>
              <w:bottom w:val="single" w:color="auto"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规划名称</w:t>
            </w:r>
          </w:p>
        </w:tc>
      </w:tr>
      <w:tr>
        <w:tblPrEx>
          <w:tblCellMar>
            <w:top w:w="0" w:type="dxa"/>
            <w:left w:w="0" w:type="dxa"/>
            <w:bottom w:w="0" w:type="dxa"/>
            <w:right w:w="0" w:type="dxa"/>
          </w:tblCellMar>
        </w:tblPrEx>
        <w:trPr>
          <w:cantSplit/>
          <w:jc w:val="center"/>
        </w:trPr>
        <w:tc>
          <w:tcPr>
            <w:tcW w:w="1318" w:type="dxa"/>
            <w:tcBorders>
              <w:top w:val="single" w:color="auto"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1</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惠州市文化发展改革“十四五”规划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2</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惠州市加快推进社会治理现代化“十四五”规划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3</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惠州市军民融合深度发展“十四五”规划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4</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惠州市教育发展“十四五”规划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5</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惠州市科技创新“十四五”规划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6</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惠州市先进制造业发展“十四五”规划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7</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惠州市人力资源和社会保障事业发展“十四五”规划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8</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惠州市生态环境保护“十四五”规划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9</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惠州市综合交通运输“十四五”发展规划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10</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惠州市水利改革发展“十四五”规划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11</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惠州市农业农村现代化“十四五”规划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12</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惠州市卫生与健康事业发展“十四五”规划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13</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惠州市应急管理“十四五”规划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14</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惠州金融改革发展“十四五”规划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15</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惠州市民政事业发展“十四五”规划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16</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惠州市能源发展“十四五”规划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17</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惠州市老龄事业和产业发展“十四五”规划</w:t>
            </w:r>
          </w:p>
        </w:tc>
      </w:tr>
      <w:tr>
        <w:tblPrEx>
          <w:tblCellMar>
            <w:top w:w="0" w:type="dxa"/>
            <w:left w:w="0" w:type="dxa"/>
            <w:bottom w:w="0" w:type="dxa"/>
            <w:right w:w="0" w:type="dxa"/>
          </w:tblCellMar>
        </w:tblPrEx>
        <w:trPr>
          <w:cantSplit/>
          <w:jc w:val="center"/>
        </w:trPr>
        <w:tc>
          <w:tcPr>
            <w:tcW w:w="1318"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18</w:t>
            </w:r>
          </w:p>
        </w:tc>
        <w:tc>
          <w:tcPr>
            <w:tcW w:w="7753" w:type="dxa"/>
            <w:tcBorders>
              <w:top w:val="single" w:color="000000" w:sz="4" w:space="0"/>
              <w:left w:val="single" w:color="000000" w:sz="4" w:space="0"/>
              <w:bottom w:val="single" w:color="000000" w:sz="4" w:space="0"/>
              <w:right w:val="single" w:color="000000" w:sz="4" w:space="0"/>
            </w:tcBorders>
            <w:tcMar>
              <w:top w:w="113" w:type="dxa"/>
              <w:left w:w="57" w:type="dxa"/>
              <w:bottom w:w="113" w:type="dxa"/>
              <w:right w:w="57" w:type="dxa"/>
            </w:tcMar>
            <w:vAlign w:val="center"/>
          </w:tcPr>
          <w:p>
            <w:pPr>
              <w:widowControl/>
              <w:spacing w:line="240" w:lineRule="auto"/>
              <w:ind w:firstLine="0" w:firstLineChars="0"/>
              <w:jc w:val="center"/>
              <w:textAlignment w:val="center"/>
              <w:rPr>
                <w:rFonts w:eastAsia="仿宋"/>
                <w:sz w:val="24"/>
              </w:rPr>
            </w:pPr>
            <w:r>
              <w:rPr>
                <w:rFonts w:hint="eastAsia" w:eastAsia="仿宋"/>
                <w:sz w:val="24"/>
              </w:rPr>
              <w:t>惠州市消防“十四五”规划</w:t>
            </w:r>
          </w:p>
        </w:tc>
      </w:tr>
    </w:tbl>
    <w:p>
      <w:pPr>
        <w:pStyle w:val="4"/>
        <w:jc w:val="both"/>
        <w:rPr>
          <w:rFonts w:ascii="黑体" w:hAnsi="黑体"/>
        </w:rPr>
      </w:pPr>
      <w:r>
        <w:br w:type="page"/>
      </w:r>
      <w:bookmarkStart w:id="322" w:name="_Toc6006"/>
      <w:bookmarkStart w:id="323" w:name="_Toc6699"/>
      <w:r>
        <w:rPr>
          <w:rFonts w:hint="eastAsia" w:ascii="黑体" w:hAnsi="黑体"/>
        </w:rPr>
        <w:t>附件</w:t>
      </w:r>
      <w:r>
        <w:t>2</w:t>
      </w:r>
      <w:bookmarkEnd w:id="322"/>
      <w:bookmarkEnd w:id="323"/>
    </w:p>
    <w:p>
      <w:pPr>
        <w:spacing w:line="300" w:lineRule="exact"/>
        <w:ind w:firstLine="0" w:firstLineChars="0"/>
        <w:jc w:val="center"/>
        <w:rPr>
          <w:rFonts w:eastAsia="方正小标宋_GBK"/>
          <w:szCs w:val="32"/>
        </w:rPr>
      </w:pPr>
    </w:p>
    <w:p>
      <w:pPr>
        <w:spacing w:line="600" w:lineRule="exact"/>
        <w:ind w:firstLine="0" w:firstLineChars="0"/>
        <w:jc w:val="center"/>
        <w:rPr>
          <w:rFonts w:eastAsia="方正小标宋_GBK"/>
          <w:sz w:val="36"/>
          <w:szCs w:val="36"/>
        </w:rPr>
      </w:pPr>
      <w:r>
        <w:rPr>
          <w:rFonts w:hint="eastAsia" w:eastAsia="方正小标宋_GBK"/>
          <w:sz w:val="36"/>
          <w:szCs w:val="36"/>
        </w:rPr>
        <w:t>惠州市</w:t>
      </w:r>
      <w:r>
        <w:rPr>
          <w:rFonts w:hint="eastAsia" w:ascii="仿宋" w:hAnsi="仿宋" w:eastAsia="仿宋" w:cs="仿宋"/>
          <w:sz w:val="36"/>
          <w:szCs w:val="36"/>
        </w:rPr>
        <w:t>“</w:t>
      </w:r>
      <w:r>
        <w:rPr>
          <w:rFonts w:hint="eastAsia" w:eastAsia="方正小标宋_GBK"/>
          <w:sz w:val="36"/>
          <w:szCs w:val="36"/>
        </w:rPr>
        <w:t>十四五</w:t>
      </w:r>
      <w:r>
        <w:rPr>
          <w:rFonts w:hint="eastAsia" w:ascii="仿宋" w:hAnsi="仿宋" w:eastAsia="仿宋" w:cs="仿宋"/>
          <w:sz w:val="36"/>
          <w:szCs w:val="36"/>
        </w:rPr>
        <w:t>”</w:t>
      </w:r>
      <w:r>
        <w:rPr>
          <w:rFonts w:hint="eastAsia" w:eastAsia="方正小标宋_GBK"/>
          <w:sz w:val="36"/>
          <w:szCs w:val="36"/>
        </w:rPr>
        <w:t>规划重大建设项目汇总表</w:t>
      </w:r>
    </w:p>
    <w:p>
      <w:pPr>
        <w:spacing w:line="300" w:lineRule="exact"/>
        <w:ind w:firstLine="0" w:firstLineChars="0"/>
        <w:jc w:val="center"/>
        <w:rPr>
          <w:rFonts w:eastAsia="方正小标宋_GBK"/>
          <w:szCs w:val="32"/>
        </w:rPr>
      </w:pPr>
    </w:p>
    <w:p>
      <w:pPr>
        <w:overflowPunct w:val="0"/>
        <w:spacing w:after="120" w:afterLines="50" w:line="300" w:lineRule="exact"/>
        <w:ind w:firstLine="0" w:firstLineChars="0"/>
        <w:jc w:val="right"/>
        <w:rPr>
          <w:rFonts w:ascii="楷体_GB2312" w:eastAsia="楷体_GB2312"/>
          <w:sz w:val="24"/>
        </w:rPr>
      </w:pPr>
      <w:r>
        <w:rPr>
          <w:rFonts w:hint="eastAsia" w:ascii="楷体_GB2312" w:eastAsia="楷体_GB2312"/>
          <w:sz w:val="24"/>
        </w:rPr>
        <w:t>投资单位：万元</w:t>
      </w:r>
    </w:p>
    <w:tbl>
      <w:tblPr>
        <w:tblStyle w:val="17"/>
        <w:tblW w:w="9071" w:type="dxa"/>
        <w:jc w:val="center"/>
        <w:tblLayout w:type="fixed"/>
        <w:tblCellMar>
          <w:top w:w="0" w:type="dxa"/>
          <w:left w:w="108" w:type="dxa"/>
          <w:bottom w:w="0" w:type="dxa"/>
          <w:right w:w="108" w:type="dxa"/>
        </w:tblCellMar>
      </w:tblPr>
      <w:tblGrid>
        <w:gridCol w:w="873"/>
        <w:gridCol w:w="3127"/>
        <w:gridCol w:w="1723"/>
        <w:gridCol w:w="1800"/>
        <w:gridCol w:w="1548"/>
      </w:tblGrid>
      <w:tr>
        <w:tblPrEx>
          <w:tblCellMar>
            <w:top w:w="0" w:type="dxa"/>
            <w:left w:w="108" w:type="dxa"/>
            <w:bottom w:w="0" w:type="dxa"/>
            <w:right w:w="108" w:type="dxa"/>
          </w:tblCellMar>
        </w:tblPrEx>
        <w:trPr>
          <w:trHeight w:val="80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序号</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项目类别</w:t>
            </w:r>
          </w:p>
        </w:tc>
        <w:tc>
          <w:tcPr>
            <w:tcW w:w="1723"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总投资</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到2020年底累计完成投资</w:t>
            </w:r>
          </w:p>
        </w:tc>
        <w:tc>
          <w:tcPr>
            <w:tcW w:w="1548"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ind w:firstLine="0" w:firstLineChars="0"/>
              <w:jc w:val="center"/>
              <w:rPr>
                <w:rFonts w:ascii="黑体" w:hAnsi="黑体" w:eastAsia="黑体" w:cs="宋体"/>
                <w:bCs/>
                <w:kern w:val="0"/>
                <w:sz w:val="26"/>
                <w:szCs w:val="26"/>
              </w:rPr>
            </w:pPr>
            <w:r>
              <w:rPr>
                <w:rFonts w:hint="eastAsia" w:ascii="黑体" w:hAnsi="黑体" w:eastAsia="黑体" w:cs="宋体"/>
                <w:bCs/>
                <w:kern w:val="0"/>
                <w:sz w:val="26"/>
                <w:szCs w:val="26"/>
              </w:rPr>
              <w:t>“十四五”期间投资</w:t>
            </w:r>
          </w:p>
        </w:tc>
      </w:tr>
      <w:tr>
        <w:tblPrEx>
          <w:tblCellMar>
            <w:top w:w="0" w:type="dxa"/>
            <w:left w:w="108" w:type="dxa"/>
            <w:bottom w:w="0" w:type="dxa"/>
            <w:right w:w="108" w:type="dxa"/>
          </w:tblCellMar>
        </w:tblPrEx>
        <w:trPr>
          <w:trHeight w:val="54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p>
        </w:tc>
        <w:tc>
          <w:tcPr>
            <w:tcW w:w="3127" w:type="dxa"/>
            <w:tcBorders>
              <w:top w:val="single" w:color="000000" w:sz="4" w:space="0"/>
              <w:left w:val="single" w:color="000000" w:sz="4" w:space="0"/>
              <w:bottom w:val="single" w:color="000000" w:sz="4" w:space="0"/>
              <w:right w:val="nil"/>
            </w:tcBorders>
            <w:shd w:val="clear" w:color="auto" w:fill="auto"/>
            <w:vAlign w:val="center"/>
          </w:tcPr>
          <w:p>
            <w:pPr>
              <w:pStyle w:val="31"/>
              <w:rPr>
                <w:b/>
                <w:bCs/>
              </w:rPr>
            </w:pPr>
            <w:r>
              <w:rPr>
                <w:b/>
                <w:bCs/>
              </w:rPr>
              <w:t>合  计</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146185645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11624851 </w:t>
            </w:r>
          </w:p>
        </w:tc>
        <w:tc>
          <w:tcPr>
            <w:tcW w:w="1548" w:type="dxa"/>
            <w:tcBorders>
              <w:top w:val="single" w:color="000000" w:sz="4" w:space="0"/>
              <w:left w:val="single" w:color="000000" w:sz="4" w:space="0"/>
              <w:bottom w:val="nil"/>
              <w:right w:val="single" w:color="000000" w:sz="4" w:space="0"/>
            </w:tcBorders>
            <w:shd w:val="clear" w:color="auto" w:fill="auto"/>
            <w:vAlign w:val="center"/>
          </w:tcPr>
          <w:p>
            <w:pPr>
              <w:pStyle w:val="31"/>
              <w:rPr>
                <w:b/>
                <w:bCs/>
              </w:rPr>
            </w:pPr>
            <w:r>
              <w:rPr>
                <w:b/>
                <w:bCs/>
              </w:rPr>
              <w:t xml:space="preserve">103160786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rPr>
                <w:b/>
                <w:bCs/>
              </w:rPr>
            </w:pPr>
            <w:r>
              <w:rPr>
                <w:b/>
                <w:bCs/>
              </w:rPr>
              <w:t>科技创新发展领域</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23543406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2400111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15835837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国家、省级区域发展平台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685000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166600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200000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科技基础设施</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1659196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260394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808802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创新创业基地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4029700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15000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2014700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（四）</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现代产业园</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17169510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1958117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12812335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rPr>
                <w:b/>
                <w:bCs/>
              </w:rPr>
            </w:pPr>
            <w:r>
              <w:rPr>
                <w:b/>
                <w:bCs/>
              </w:rPr>
              <w:t>现代产业体系建设领域</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53138251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4139573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37174878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新型基础设施建设工程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8860000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6360000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新一代信息技术工程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4669880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1637059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3032821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生物产业工程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440000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45000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395000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（四）</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高端装备制造工程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4985656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1357702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3379954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（五）</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新材料产业工程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7528100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291830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5500270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（六）</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重化工业工程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13478034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325000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11442034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（七）</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现代服务业工程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12265915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389800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6247315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（八）</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传统产业升级工程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625512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75000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550512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（九）</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农林牧渔项目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285154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18182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266972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rPr>
                <w:b/>
                <w:bCs/>
              </w:rPr>
            </w:pPr>
            <w:r>
              <w:rPr>
                <w:b/>
                <w:bCs/>
              </w:rPr>
              <w:t>综合交通运输体系建设领域</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36770873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2704964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26021159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轨道交通工程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5026820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1664427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3362393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公路工程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29650364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1029789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20575775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机场工程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1015000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1015000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（四）</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港航工程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1078689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10748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1067991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四</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rPr>
                <w:b/>
                <w:bCs/>
              </w:rPr>
            </w:pPr>
            <w:r>
              <w:rPr>
                <w:b/>
                <w:bCs/>
              </w:rPr>
              <w:t>生态环境建设领域</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26014615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1741461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18887154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能源转型升级工程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20852497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1451944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14014553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水利工程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3446001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26300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3419701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环保工程</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1716117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263217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1452900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五</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rPr>
                <w:b/>
                <w:bCs/>
              </w:rPr>
            </w:pPr>
            <w:r>
              <w:rPr>
                <w:b/>
                <w:bCs/>
              </w:rPr>
              <w:t>公共服务领域</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6718500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638742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rPr>
                <w:b/>
                <w:bCs/>
              </w:rPr>
            </w:pPr>
            <w:r>
              <w:rPr>
                <w:b/>
                <w:bCs/>
              </w:rPr>
              <w:t xml:space="preserve">5241758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（一）</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城市公共基础设施</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2533748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148411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2385337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（二）</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教育项目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1159985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220644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906341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（三）</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医疗卫生建设项目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1538427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125187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1178240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（四）</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养老服务建设项目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800000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130000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300000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（五）</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文化场馆建设项目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565740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6000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359740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（六）</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住房保障建设项目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97600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8500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89100 </w:t>
            </w:r>
          </w:p>
        </w:tc>
      </w:tr>
      <w:tr>
        <w:tblPrEx>
          <w:tblCellMar>
            <w:top w:w="0" w:type="dxa"/>
            <w:left w:w="108" w:type="dxa"/>
            <w:bottom w:w="0" w:type="dxa"/>
            <w:right w:w="108" w:type="dxa"/>
          </w:tblCellMar>
        </w:tblPrEx>
        <w:trPr>
          <w:trHeight w:val="480" w:hRule="atLeast"/>
          <w:jc w:val="center"/>
        </w:trPr>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（七）</w:t>
            </w:r>
          </w:p>
        </w:tc>
        <w:tc>
          <w:tcPr>
            <w:tcW w:w="3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jc w:val="both"/>
            </w:pPr>
            <w:r>
              <w:t>应急保障建设项目</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0 </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pPr>
            <w:r>
              <w:t xml:space="preserve">23000 </w:t>
            </w:r>
          </w:p>
        </w:tc>
      </w:tr>
    </w:tbl>
    <w:p>
      <w:pPr>
        <w:pStyle w:val="31"/>
      </w:pPr>
    </w:p>
    <w:p>
      <w:pPr>
        <w:pStyle w:val="31"/>
      </w:pP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sectPr>
          <w:footerReference r:id="rId8" w:type="default"/>
          <w:pgSz w:w="11906" w:h="16838"/>
          <w:pgMar w:top="1814" w:right="1474" w:bottom="1418" w:left="1474" w:header="851" w:footer="992" w:gutter="0"/>
          <w:pgNumType w:start="1"/>
          <w:cols w:space="720" w:num="1"/>
          <w:docGrid w:linePitch="435" w:charSpace="0"/>
        </w:sectPr>
      </w:pPr>
    </w:p>
    <w:p>
      <w:pPr>
        <w:spacing w:line="600" w:lineRule="exact"/>
        <w:ind w:firstLine="0" w:firstLineChars="0"/>
        <w:jc w:val="center"/>
        <w:rPr>
          <w:rFonts w:eastAsia="方正小标宋_GBK"/>
          <w:sz w:val="36"/>
          <w:szCs w:val="36"/>
        </w:rPr>
      </w:pPr>
      <w:r>
        <w:rPr>
          <w:rFonts w:hint="eastAsia" w:eastAsia="方正小标宋_GBK"/>
          <w:sz w:val="36"/>
          <w:szCs w:val="36"/>
        </w:rPr>
        <w:t>惠州市</w:t>
      </w:r>
      <w:r>
        <w:rPr>
          <w:rFonts w:hint="eastAsia" w:ascii="仿宋" w:hAnsi="仿宋" w:eastAsia="仿宋" w:cs="仿宋"/>
          <w:sz w:val="36"/>
          <w:szCs w:val="36"/>
        </w:rPr>
        <w:t>“</w:t>
      </w:r>
      <w:r>
        <w:rPr>
          <w:rFonts w:hint="eastAsia" w:eastAsia="方正小标宋_GBK"/>
          <w:sz w:val="36"/>
          <w:szCs w:val="36"/>
        </w:rPr>
        <w:t>十四五</w:t>
      </w:r>
      <w:r>
        <w:rPr>
          <w:rFonts w:hint="eastAsia" w:ascii="仿宋" w:hAnsi="仿宋" w:eastAsia="仿宋" w:cs="仿宋"/>
          <w:sz w:val="36"/>
          <w:szCs w:val="36"/>
        </w:rPr>
        <w:t>”</w:t>
      </w:r>
      <w:r>
        <w:rPr>
          <w:rFonts w:hint="eastAsia" w:eastAsia="方正小标宋_GBK"/>
          <w:sz w:val="36"/>
          <w:szCs w:val="36"/>
        </w:rPr>
        <w:t>规划重大建设项目（工程包）汇总表</w:t>
      </w:r>
    </w:p>
    <w:p>
      <w:pPr>
        <w:spacing w:line="300" w:lineRule="exact"/>
        <w:ind w:firstLine="0" w:firstLineChars="0"/>
        <w:jc w:val="center"/>
        <w:rPr>
          <w:rFonts w:eastAsia="方正小标宋_GBK"/>
          <w:szCs w:val="32"/>
        </w:rPr>
      </w:pPr>
    </w:p>
    <w:p>
      <w:pPr>
        <w:overflowPunct w:val="0"/>
        <w:spacing w:after="120" w:afterLines="50" w:line="300" w:lineRule="exact"/>
        <w:ind w:firstLine="0" w:firstLineChars="0"/>
        <w:jc w:val="right"/>
        <w:rPr>
          <w:rFonts w:ascii="楷体_GB2312" w:eastAsia="楷体_GB2312"/>
          <w:sz w:val="24"/>
        </w:rPr>
      </w:pPr>
      <w:r>
        <w:rPr>
          <w:rFonts w:hint="eastAsia" w:ascii="楷体_GB2312" w:eastAsia="楷体_GB2312"/>
          <w:sz w:val="24"/>
        </w:rPr>
        <w:t>投资单位：万元</w:t>
      </w:r>
    </w:p>
    <w:tbl>
      <w:tblPr>
        <w:tblStyle w:val="17"/>
        <w:tblW w:w="9184" w:type="dxa"/>
        <w:jc w:val="center"/>
        <w:tblLayout w:type="fixed"/>
        <w:tblCellMar>
          <w:top w:w="0" w:type="dxa"/>
          <w:left w:w="0" w:type="dxa"/>
          <w:bottom w:w="0" w:type="dxa"/>
          <w:right w:w="0" w:type="dxa"/>
        </w:tblCellMar>
      </w:tblPr>
      <w:tblGrid>
        <w:gridCol w:w="658"/>
        <w:gridCol w:w="1200"/>
        <w:gridCol w:w="2957"/>
        <w:gridCol w:w="1077"/>
        <w:gridCol w:w="1116"/>
        <w:gridCol w:w="1064"/>
        <w:gridCol w:w="1112"/>
      </w:tblGrid>
      <w:tr>
        <w:tblPrEx>
          <w:tblCellMar>
            <w:top w:w="0" w:type="dxa"/>
            <w:left w:w="0" w:type="dxa"/>
            <w:bottom w:w="0" w:type="dxa"/>
            <w:right w:w="0" w:type="dxa"/>
          </w:tblCellMar>
        </w:tblPrEx>
        <w:trPr>
          <w:trHeight w:val="129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eastAsia="黑体"/>
              </w:rPr>
            </w:pPr>
            <w:r>
              <w:rPr>
                <w:rFonts w:eastAsia="黑体"/>
              </w:rPr>
              <w:t>序号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eastAsia="黑体"/>
              </w:rPr>
            </w:pPr>
            <w:r>
              <w:rPr>
                <w:rFonts w:eastAsia="黑体"/>
              </w:rPr>
              <w:t>项目名称</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eastAsia="黑体"/>
              </w:rPr>
            </w:pPr>
            <w:r>
              <w:rPr>
                <w:rFonts w:eastAsia="黑体"/>
              </w:rPr>
              <w:t>建设内容及规模</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eastAsia="黑体"/>
              </w:rPr>
            </w:pPr>
            <w:r>
              <w:rPr>
                <w:rFonts w:eastAsia="黑体"/>
              </w:rPr>
              <w:t>建设起</w:t>
            </w:r>
            <w:r>
              <w:rPr>
                <w:rFonts w:eastAsia="黑体"/>
              </w:rPr>
              <w:br w:type="textWrapping"/>
            </w:r>
            <w:r>
              <w:rPr>
                <w:rFonts w:eastAsia="黑体"/>
              </w:rPr>
              <w:t>止年限</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eastAsia="黑体"/>
              </w:rPr>
            </w:pPr>
            <w:r>
              <w:rPr>
                <w:rFonts w:eastAsia="黑体"/>
              </w:rPr>
              <w:t>总投资</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eastAsia="黑体"/>
              </w:rPr>
            </w:pPr>
            <w:r>
              <w:rPr>
                <w:rFonts w:eastAsia="黑体"/>
              </w:rPr>
              <w:t>到2020年累计完成投资</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eastAsia="黑体"/>
              </w:rPr>
            </w:pPr>
            <w:r>
              <w:rPr>
                <w:rFonts w:eastAsia="黑体"/>
              </w:rPr>
              <w:t>“十四五”期间投资</w:t>
            </w:r>
          </w:p>
        </w:tc>
      </w:tr>
      <w:tr>
        <w:tblPrEx>
          <w:tblCellMar>
            <w:top w:w="0" w:type="dxa"/>
            <w:left w:w="0" w:type="dxa"/>
            <w:bottom w:w="0" w:type="dxa"/>
            <w:right w:w="0" w:type="dxa"/>
          </w:tblCellMar>
        </w:tblPrEx>
        <w:trPr>
          <w:trHeight w:val="454"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ascii="黑体" w:hAnsi="黑体" w:eastAsia="黑体" w:cs="黑体"/>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ascii="黑体" w:hAnsi="黑体" w:eastAsia="黑体" w:cs="黑体"/>
              </w:rPr>
            </w:pPr>
            <w:r>
              <w:rPr>
                <w:rFonts w:hint="eastAsia" w:ascii="黑体" w:hAnsi="黑体" w:eastAsia="黑体" w:cs="黑体"/>
              </w:rPr>
              <w:t>合  计</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146185645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11624851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103160786 </w:t>
            </w:r>
          </w:p>
        </w:tc>
      </w:tr>
      <w:tr>
        <w:tblPrEx>
          <w:tblCellMar>
            <w:top w:w="0" w:type="dxa"/>
            <w:left w:w="0" w:type="dxa"/>
            <w:bottom w:w="0" w:type="dxa"/>
            <w:right w:w="0" w:type="dxa"/>
          </w:tblCellMar>
        </w:tblPrEx>
        <w:trPr>
          <w:trHeight w:val="6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ascii="黑体" w:hAnsi="黑体" w:eastAsia="黑体" w:cs="黑体"/>
              </w:rPr>
            </w:pPr>
            <w:r>
              <w:rPr>
                <w:rFonts w:hint="eastAsia" w:ascii="黑体" w:hAnsi="黑体" w:eastAsia="黑体" w:cs="黑体"/>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rFonts w:ascii="黑体" w:hAnsi="黑体" w:eastAsia="黑体" w:cs="黑体"/>
              </w:rPr>
            </w:pPr>
            <w:r>
              <w:rPr>
                <w:rFonts w:hint="eastAsia" w:ascii="黑体" w:hAnsi="黑体" w:eastAsia="黑体" w:cs="黑体"/>
              </w:rPr>
              <w:t>科技创新发展领域</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23543406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2400111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15835837 </w:t>
            </w:r>
          </w:p>
        </w:tc>
      </w:tr>
      <w:tr>
        <w:tblPrEx>
          <w:tblCellMar>
            <w:top w:w="0" w:type="dxa"/>
            <w:left w:w="0" w:type="dxa"/>
            <w:bottom w:w="0" w:type="dxa"/>
            <w:right w:w="0" w:type="dxa"/>
          </w:tblCellMar>
        </w:tblPrEx>
        <w:trPr>
          <w:trHeight w:val="11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国家、省级区域发展平台</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建设广东惠州国家林药科技示范园，构建科技林药相结合的绿色廊道。</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2020-2029</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685000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166600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200000 </w:t>
            </w:r>
          </w:p>
        </w:tc>
      </w:tr>
      <w:tr>
        <w:tblPrEx>
          <w:tblCellMar>
            <w:top w:w="0" w:type="dxa"/>
            <w:left w:w="0" w:type="dxa"/>
            <w:bottom w:w="0" w:type="dxa"/>
            <w:right w:w="0" w:type="dxa"/>
          </w:tblCellMar>
        </w:tblPrEx>
        <w:trPr>
          <w:trHeight w:val="8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科技基础设施</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2017-2031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1659196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260394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808802 </w:t>
            </w:r>
          </w:p>
        </w:tc>
      </w:tr>
      <w:tr>
        <w:tblPrEx>
          <w:tblCellMar>
            <w:top w:w="0" w:type="dxa"/>
            <w:left w:w="0" w:type="dxa"/>
            <w:bottom w:w="0" w:type="dxa"/>
            <w:right w:w="0" w:type="dxa"/>
          </w:tblCellMar>
        </w:tblPrEx>
        <w:trPr>
          <w:trHeight w:val="8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重大科学装置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建设中科院强流重离子加速器（HIAF）和加速器驱动嬗变研究装置（CIADS）项目、同位素研发平台、高能量密度研发平台等，打造一流的重大科技基础设施集群。</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2017-2031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1329196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215394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523802 </w:t>
            </w:r>
          </w:p>
        </w:tc>
      </w:tr>
      <w:tr>
        <w:tblPrEx>
          <w:tblCellMar>
            <w:top w:w="0" w:type="dxa"/>
            <w:left w:w="0" w:type="dxa"/>
            <w:bottom w:w="0" w:type="dxa"/>
            <w:right w:w="0" w:type="dxa"/>
          </w:tblCellMar>
        </w:tblPrEx>
        <w:trPr>
          <w:trHeight w:val="818"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省实验室</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建设一批国家和省级重点实验室。</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2020-2024</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330000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45000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285000 </w:t>
            </w:r>
          </w:p>
        </w:tc>
      </w:tr>
      <w:tr>
        <w:tblPrEx>
          <w:tblCellMar>
            <w:top w:w="0" w:type="dxa"/>
            <w:left w:w="0" w:type="dxa"/>
            <w:bottom w:w="0" w:type="dxa"/>
            <w:right w:w="0" w:type="dxa"/>
          </w:tblCellMar>
        </w:tblPrEx>
        <w:trPr>
          <w:trHeight w:val="12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创新创业基地</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建设一批省级和市级产业创新基地、制造业创新基地、技术创新基地、工程研究基地和企业技术基地。</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2019-2030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4029700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2014700 </w:t>
            </w:r>
          </w:p>
        </w:tc>
      </w:tr>
      <w:tr>
        <w:tblPrEx>
          <w:tblCellMar>
            <w:top w:w="0" w:type="dxa"/>
            <w:left w:w="0" w:type="dxa"/>
            <w:bottom w:w="0" w:type="dxa"/>
            <w:right w:w="0" w:type="dxa"/>
          </w:tblCellMar>
        </w:tblPrEx>
        <w:trPr>
          <w:trHeight w:val="12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（四）</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现代产业园</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建设一批现代产业园区，在惠城、惠阳、惠东、博罗、龙门、大亚湾、仲恺等地形成新兴产业优势集群。</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2019-2030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17169510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1958117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12812335 </w:t>
            </w:r>
          </w:p>
        </w:tc>
      </w:tr>
      <w:tr>
        <w:tblPrEx>
          <w:tblCellMar>
            <w:top w:w="0" w:type="dxa"/>
            <w:left w:w="0" w:type="dxa"/>
            <w:bottom w:w="0" w:type="dxa"/>
            <w:right w:w="0" w:type="dxa"/>
          </w:tblCellMar>
        </w:tblPrEx>
        <w:trPr>
          <w:trHeight w:val="6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ascii="黑体" w:hAnsi="黑体" w:eastAsia="黑体" w:cs="黑体"/>
              </w:rPr>
            </w:pPr>
            <w:r>
              <w:rPr>
                <w:rFonts w:hint="eastAsia" w:ascii="黑体" w:hAnsi="黑体" w:eastAsia="黑体" w:cs="黑体"/>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rFonts w:ascii="黑体" w:hAnsi="黑体" w:eastAsia="黑体" w:cs="黑体"/>
              </w:rPr>
            </w:pPr>
            <w:r>
              <w:rPr>
                <w:rFonts w:hint="eastAsia" w:ascii="黑体" w:hAnsi="黑体" w:eastAsia="黑体" w:cs="黑体"/>
              </w:rPr>
              <w:t>现代产业体系建设领域</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53138251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4139573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37174878 </w:t>
            </w:r>
          </w:p>
        </w:tc>
      </w:tr>
      <w:tr>
        <w:tblPrEx>
          <w:tblCellMar>
            <w:top w:w="0" w:type="dxa"/>
            <w:left w:w="0" w:type="dxa"/>
            <w:bottom w:w="0" w:type="dxa"/>
            <w:right w:w="0" w:type="dxa"/>
          </w:tblCellMar>
        </w:tblPrEx>
        <w:trPr>
          <w:trHeight w:val="12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新型基础设施建设工程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在惠东、龙门等地建设一批数据传输枢纽、大数据中心及配套关联产业项目。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2019-2027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8860000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6360000 </w:t>
            </w:r>
          </w:p>
        </w:tc>
      </w:tr>
      <w:tr>
        <w:tblPrEx>
          <w:tblCellMar>
            <w:top w:w="0" w:type="dxa"/>
            <w:left w:w="0" w:type="dxa"/>
            <w:bottom w:w="0" w:type="dxa"/>
            <w:right w:w="0" w:type="dxa"/>
          </w:tblCellMar>
        </w:tblPrEx>
        <w:trPr>
          <w:trHeight w:val="978"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新一代信息技术工程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2016-2025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4669880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1637059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3032821 </w:t>
            </w:r>
          </w:p>
        </w:tc>
      </w:tr>
      <w:tr>
        <w:tblPrEx>
          <w:tblCellMar>
            <w:top w:w="0" w:type="dxa"/>
            <w:left w:w="0" w:type="dxa"/>
            <w:bottom w:w="0" w:type="dxa"/>
            <w:right w:w="0" w:type="dxa"/>
          </w:tblCellMar>
        </w:tblPrEx>
        <w:trPr>
          <w:trHeight w:val="136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电子信息产业项目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建设一批半导体元器件、物联网传感器项目，建成一批新一代信息技术创新应用产业集聚区。</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2017-2025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2039600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301000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1738600 </w:t>
            </w:r>
          </w:p>
        </w:tc>
      </w:tr>
      <w:tr>
        <w:tblPrEx>
          <w:tblCellMar>
            <w:top w:w="0" w:type="dxa"/>
            <w:left w:w="0" w:type="dxa"/>
            <w:bottom w:w="0" w:type="dxa"/>
            <w:right w:w="0" w:type="dxa"/>
          </w:tblCellMar>
        </w:tblPrEx>
        <w:trPr>
          <w:trHeight w:val="996"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新一代移动通信项目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建设一批新一代通信设备、新型网络、手机及新型智能终端项目。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2016-2025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926000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298000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628000 </w:t>
            </w:r>
          </w:p>
        </w:tc>
      </w:tr>
      <w:tr>
        <w:tblPrEx>
          <w:tblCellMar>
            <w:top w:w="0" w:type="dxa"/>
            <w:left w:w="0" w:type="dxa"/>
            <w:bottom w:w="0" w:type="dxa"/>
            <w:right w:w="0" w:type="dxa"/>
          </w:tblCellMar>
        </w:tblPrEx>
        <w:trPr>
          <w:trHeight w:val="8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新型显示面板项目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在仲恺、大亚湾等地建设一批新型显示面板产业项目。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2019-2022</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1704280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1038059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666221 </w:t>
            </w:r>
          </w:p>
        </w:tc>
      </w:tr>
      <w:tr>
        <w:tblPrEx>
          <w:tblCellMar>
            <w:top w:w="0" w:type="dxa"/>
            <w:left w:w="0" w:type="dxa"/>
            <w:bottom w:w="0" w:type="dxa"/>
            <w:right w:w="0" w:type="dxa"/>
          </w:tblCellMar>
        </w:tblPrEx>
        <w:trPr>
          <w:trHeight w:val="14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生物产业工程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建设罗浮山国药二期、惠州九惠生物医药产业园、罗浮山国药中医药产业项目，打造健康产业集群。</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2019-2025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440000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45000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395000 </w:t>
            </w:r>
          </w:p>
        </w:tc>
      </w:tr>
      <w:tr>
        <w:tblPrEx>
          <w:tblCellMar>
            <w:top w:w="0" w:type="dxa"/>
            <w:left w:w="0" w:type="dxa"/>
            <w:bottom w:w="0" w:type="dxa"/>
            <w:right w:w="0" w:type="dxa"/>
          </w:tblCellMar>
        </w:tblPrEx>
        <w:trPr>
          <w:trHeight w:val="10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（四）</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高端装备制造工程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2017-2027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4985656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1357702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3379954 </w:t>
            </w:r>
          </w:p>
        </w:tc>
      </w:tr>
      <w:tr>
        <w:tblPrEx>
          <w:tblCellMar>
            <w:top w:w="0" w:type="dxa"/>
            <w:left w:w="0" w:type="dxa"/>
            <w:bottom w:w="0" w:type="dxa"/>
            <w:right w:w="0" w:type="dxa"/>
          </w:tblCellMar>
        </w:tblPrEx>
        <w:trPr>
          <w:trHeight w:val="11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智能制造项目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建设智能机器人、航空装备、精密器件、高端医疗器材等产业项目。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2018-2024</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3236000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718320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2269680 </w:t>
            </w:r>
          </w:p>
        </w:tc>
      </w:tr>
      <w:tr>
        <w:tblPrEx>
          <w:tblCellMar>
            <w:top w:w="0" w:type="dxa"/>
            <w:left w:w="0" w:type="dxa"/>
            <w:bottom w:w="0" w:type="dxa"/>
            <w:right w:w="0" w:type="dxa"/>
          </w:tblCellMar>
        </w:tblPrEx>
        <w:trPr>
          <w:trHeight w:val="1734"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能源装备项目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建设惠州天宝集团智能制造项目、德赛电池物联网电源高端智造项目、中保惠州新城新能源研发生产等一批新能源装备项目。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2017-2027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599656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69000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530656 </w:t>
            </w:r>
          </w:p>
        </w:tc>
      </w:tr>
      <w:tr>
        <w:tblPrEx>
          <w:tblCellMar>
            <w:top w:w="0" w:type="dxa"/>
            <w:left w:w="0" w:type="dxa"/>
            <w:bottom w:w="0" w:type="dxa"/>
            <w:right w:w="0" w:type="dxa"/>
          </w:tblCellMar>
        </w:tblPrEx>
        <w:trPr>
          <w:trHeight w:val="17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汽车制造项目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建设惠州市中新工业园汽车零配件生产项目、惠州市朝鲲科技半固态压铸项目等，支持汽车及零部件开展技术升级和智能化改造。</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2017-2025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1150000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570382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579618 </w:t>
            </w:r>
          </w:p>
        </w:tc>
      </w:tr>
      <w:tr>
        <w:tblPrEx>
          <w:tblCellMar>
            <w:top w:w="0" w:type="dxa"/>
            <w:left w:w="0" w:type="dxa"/>
            <w:bottom w:w="0" w:type="dxa"/>
            <w:right w:w="0" w:type="dxa"/>
          </w:tblCellMar>
        </w:tblPrEx>
        <w:trPr>
          <w:trHeight w:val="183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（五）</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新材料产业工程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建设正威（惠州）新材料制造产业园项目、恒力惠州新材料产业园PTA下游项目等，在惠城、惠东、博罗等地形成前沿新材料集聚区。</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2012-2035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7528100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291830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5500270 </w:t>
            </w:r>
          </w:p>
        </w:tc>
      </w:tr>
      <w:tr>
        <w:tblPrEx>
          <w:tblCellMar>
            <w:top w:w="0" w:type="dxa"/>
            <w:left w:w="0" w:type="dxa"/>
            <w:bottom w:w="0" w:type="dxa"/>
            <w:right w:w="0" w:type="dxa"/>
          </w:tblCellMar>
        </w:tblPrEx>
        <w:trPr>
          <w:trHeight w:val="18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（六）</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重化工业工程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成惠州石化产品结构优化及质量升级项目、埃克森美孚惠州乙烯项目（一期）、中海壳牌惠州DPC/PC项目；动工建设埃克森美孚惠州乙烯项目（二期）、中海壳牌惠州三期乙烯项目，基本建成世界级绿色石化基地。</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2018-2026</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13478034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325000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11442034 </w:t>
            </w:r>
          </w:p>
        </w:tc>
      </w:tr>
      <w:tr>
        <w:tblPrEx>
          <w:tblCellMar>
            <w:top w:w="0" w:type="dxa"/>
            <w:left w:w="0" w:type="dxa"/>
            <w:bottom w:w="0" w:type="dxa"/>
            <w:right w:w="0" w:type="dxa"/>
          </w:tblCellMar>
        </w:tblPrEx>
        <w:trPr>
          <w:trHeight w:val="15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（七）</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现代服务业工程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建设万有（惠州）国际旅游度假区项目、粤港澳大湾区（广东惠州）现代物流产业基地等，建设一批信息化、金融、商务、科创、物流服务等项目。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2015-2030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12265915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389800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6247315 </w:t>
            </w:r>
          </w:p>
        </w:tc>
      </w:tr>
      <w:tr>
        <w:tblPrEx>
          <w:tblCellMar>
            <w:top w:w="0" w:type="dxa"/>
            <w:left w:w="0" w:type="dxa"/>
            <w:bottom w:w="0" w:type="dxa"/>
            <w:right w:w="0" w:type="dxa"/>
          </w:tblCellMar>
        </w:tblPrEx>
        <w:trPr>
          <w:trHeight w:val="19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（八）</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传统产业升级工程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建设永发动漫智慧高新产业园、惠州市左右家俬生产项目、龙门“火冰”新型环保消防灭火器项目等，支持加快传统产业升级改造提质发展。</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2017-2025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625512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75000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550512 </w:t>
            </w:r>
          </w:p>
        </w:tc>
      </w:tr>
      <w:tr>
        <w:tblPrEx>
          <w:tblCellMar>
            <w:top w:w="0" w:type="dxa"/>
            <w:left w:w="0" w:type="dxa"/>
            <w:bottom w:w="0" w:type="dxa"/>
            <w:right w:w="0" w:type="dxa"/>
          </w:tblCellMar>
        </w:tblPrEx>
        <w:trPr>
          <w:trHeight w:val="15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（九）</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农林牧渔项目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建设惠州农产品优势特色产业集群、惠州市国家级现代农业产业园等项目，推动一二三产业融合创新发展。</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285154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18182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266972 </w:t>
            </w:r>
          </w:p>
        </w:tc>
      </w:tr>
      <w:tr>
        <w:tblPrEx>
          <w:tblCellMar>
            <w:top w:w="0" w:type="dxa"/>
            <w:left w:w="0" w:type="dxa"/>
            <w:bottom w:w="0" w:type="dxa"/>
            <w:right w:w="0" w:type="dxa"/>
          </w:tblCellMar>
        </w:tblPrEx>
        <w:trPr>
          <w:trHeight w:val="6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ascii="黑体" w:hAnsi="黑体" w:eastAsia="黑体" w:cs="黑体"/>
              </w:rPr>
            </w:pPr>
            <w:r>
              <w:rPr>
                <w:rFonts w:hint="eastAsia" w:ascii="黑体" w:hAnsi="黑体" w:eastAsia="黑体" w:cs="黑体"/>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rFonts w:ascii="黑体" w:hAnsi="黑体" w:eastAsia="黑体" w:cs="黑体"/>
              </w:rPr>
            </w:pPr>
            <w:r>
              <w:rPr>
                <w:rFonts w:hint="eastAsia" w:ascii="黑体" w:hAnsi="黑体" w:eastAsia="黑体" w:cs="黑体"/>
              </w:rPr>
              <w:t>综合交通运输体系建设领域</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36770873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2704964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26021159 </w:t>
            </w:r>
          </w:p>
        </w:tc>
      </w:tr>
      <w:tr>
        <w:tblPrEx>
          <w:tblCellMar>
            <w:top w:w="0" w:type="dxa"/>
            <w:left w:w="0" w:type="dxa"/>
            <w:bottom w:w="0" w:type="dxa"/>
            <w:right w:w="0" w:type="dxa"/>
          </w:tblCellMar>
        </w:tblPrEx>
        <w:trPr>
          <w:trHeight w:val="11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轨道交通工程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2016-2030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5026820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1664427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3362393 </w:t>
            </w:r>
          </w:p>
        </w:tc>
      </w:tr>
      <w:tr>
        <w:tblPrEx>
          <w:tblCellMar>
            <w:top w:w="0" w:type="dxa"/>
            <w:left w:w="0" w:type="dxa"/>
            <w:bottom w:w="0" w:type="dxa"/>
            <w:right w:w="0" w:type="dxa"/>
          </w:tblCellMar>
        </w:tblPrEx>
        <w:trPr>
          <w:trHeight w:val="237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国铁干线项目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建设赣州至深圳铁路惠州段、广州至汕尾铁路惠州段、赣深高铁惠州北站综合交通枢纽配套工程、广汕高铁惠城南站综合交通枢纽配套工程，铁路建设里程约200公里。</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2016-2027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3492363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1653427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1838936 </w:t>
            </w:r>
          </w:p>
        </w:tc>
      </w:tr>
      <w:tr>
        <w:tblPrEx>
          <w:tblCellMar>
            <w:top w:w="0" w:type="dxa"/>
            <w:left w:w="0" w:type="dxa"/>
            <w:bottom w:w="0" w:type="dxa"/>
            <w:right w:w="0" w:type="dxa"/>
          </w:tblCellMar>
        </w:tblPrEx>
        <w:trPr>
          <w:trHeight w:val="14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城际轨道交通项目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建设莞惠城际小金口至惠州北站、深惠城际惠州段项目，新增铁路建设里程约57.4公里。</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2020-2024</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850987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11000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839987 </w:t>
            </w:r>
          </w:p>
        </w:tc>
      </w:tr>
      <w:tr>
        <w:tblPrEx>
          <w:tblCellMar>
            <w:top w:w="0" w:type="dxa"/>
            <w:left w:w="0" w:type="dxa"/>
            <w:bottom w:w="0" w:type="dxa"/>
            <w:right w:w="0" w:type="dxa"/>
          </w:tblCellMar>
        </w:tblPrEx>
        <w:trPr>
          <w:trHeight w:val="923"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市域铁路项目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建设惠大铁路电器化改造等城市轨道交通项目。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683470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683470 </w:t>
            </w:r>
          </w:p>
        </w:tc>
      </w:tr>
      <w:tr>
        <w:tblPrEx>
          <w:tblCellMar>
            <w:top w:w="0" w:type="dxa"/>
            <w:left w:w="0" w:type="dxa"/>
            <w:bottom w:w="0" w:type="dxa"/>
            <w:right w:w="0" w:type="dxa"/>
          </w:tblCellMar>
        </w:tblPrEx>
        <w:trPr>
          <w:trHeight w:val="5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公路工程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2017-2030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29650364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1029789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20575775 </w:t>
            </w:r>
          </w:p>
        </w:tc>
      </w:tr>
      <w:tr>
        <w:tblPrEx>
          <w:tblCellMar>
            <w:top w:w="0" w:type="dxa"/>
            <w:left w:w="0" w:type="dxa"/>
            <w:bottom w:w="0" w:type="dxa"/>
            <w:right w:w="0" w:type="dxa"/>
          </w:tblCellMar>
        </w:tblPrEx>
        <w:trPr>
          <w:trHeight w:val="17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高速公路项目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建设韶惠高速公路龙门至惠州段、沈阳至海口国家高速公路汕尾陆丰至深圳龙岗改扩建工程惠州段、惠州江湾高速公路、河惠汕高速公路惠州段等，到2025年，全市高速公路里程达约1100公里。</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2018-2029</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23096420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506339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15772849 </w:t>
            </w:r>
          </w:p>
        </w:tc>
      </w:tr>
      <w:tr>
        <w:tblPrEx>
          <w:tblCellMar>
            <w:top w:w="0" w:type="dxa"/>
            <w:left w:w="0" w:type="dxa"/>
            <w:bottom w:w="0" w:type="dxa"/>
            <w:right w:w="0" w:type="dxa"/>
          </w:tblCellMar>
        </w:tblPrEx>
        <w:trPr>
          <w:trHeight w:val="18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国省道项目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spacing w:line="400" w:lineRule="exact"/>
              <w:jc w:val="both"/>
            </w:pPr>
            <w:r>
              <w:rPr>
                <w:rFonts w:hint="eastAsia"/>
              </w:rPr>
              <w:t>建设国道G236线惠东紫金交界至高潭公梅段改扩建工程、深莞惠红色干线改建工程、省道S353线龙门至水贝段改建工程、惠州市“丰”字交通主框架国道G324北上项目、广东滨海旅游公路惠州段等。</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2017-2030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5192430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292500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3972325 </w:t>
            </w:r>
          </w:p>
        </w:tc>
      </w:tr>
      <w:tr>
        <w:tblPrEx>
          <w:tblCellMar>
            <w:top w:w="0" w:type="dxa"/>
            <w:left w:w="0" w:type="dxa"/>
            <w:bottom w:w="0" w:type="dxa"/>
            <w:right w:w="0" w:type="dxa"/>
          </w:tblCellMar>
        </w:tblPrEx>
        <w:trPr>
          <w:trHeight w:val="15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综合交通枢纽及一体化设施</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建设广汕铁路惠东南站站前广场及配套设施工程、赣深高铁博罗北站配套工程、广汕高铁博罗站配套工程、广汕高铁罗浮山站配套工程。</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1361514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230950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830601 </w:t>
            </w:r>
          </w:p>
        </w:tc>
      </w:tr>
      <w:tr>
        <w:tblPrEx>
          <w:tblCellMar>
            <w:top w:w="0" w:type="dxa"/>
            <w:left w:w="0" w:type="dxa"/>
            <w:bottom w:w="0" w:type="dxa"/>
            <w:right w:w="0" w:type="dxa"/>
          </w:tblCellMar>
        </w:tblPrEx>
        <w:trPr>
          <w:trHeight w:val="12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机场工程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建设惠州干线机场建设项目、惠东深业发展通用航空机场项目。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1015000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1015000 </w:t>
            </w:r>
          </w:p>
        </w:tc>
      </w:tr>
      <w:tr>
        <w:tblPrEx>
          <w:tblCellMar>
            <w:top w:w="0" w:type="dxa"/>
            <w:left w:w="0" w:type="dxa"/>
            <w:bottom w:w="0" w:type="dxa"/>
            <w:right w:w="0" w:type="dxa"/>
          </w:tblCellMar>
        </w:tblPrEx>
        <w:trPr>
          <w:trHeight w:val="513"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（四）</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港航工程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1078689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10748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1067991 </w:t>
            </w:r>
          </w:p>
        </w:tc>
      </w:tr>
      <w:tr>
        <w:tblPrEx>
          <w:tblCellMar>
            <w:top w:w="0" w:type="dxa"/>
            <w:left w:w="0" w:type="dxa"/>
            <w:bottom w:w="0" w:type="dxa"/>
            <w:right w:w="0" w:type="dxa"/>
          </w:tblCellMar>
        </w:tblPrEx>
        <w:trPr>
          <w:trHeight w:val="15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港口码头项目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spacing w:line="400" w:lineRule="exact"/>
              <w:jc w:val="both"/>
            </w:pPr>
            <w:r>
              <w:rPr>
                <w:rFonts w:hint="eastAsia"/>
              </w:rPr>
              <w:t>推进惠州港专业化码头建设，建设惠州港荃湾港区10万吨级多用途码头项目、惠州港荃湾港区5万吨级液化烃码头项目、恒力石化（惠州）通用码头等。</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845531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10200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835381 </w:t>
            </w:r>
          </w:p>
        </w:tc>
      </w:tr>
      <w:tr>
        <w:tblPrEx>
          <w:tblCellMar>
            <w:top w:w="0" w:type="dxa"/>
            <w:left w:w="0" w:type="dxa"/>
            <w:bottom w:w="0" w:type="dxa"/>
            <w:right w:w="0" w:type="dxa"/>
          </w:tblCellMar>
        </w:tblPrEx>
        <w:trPr>
          <w:trHeight w:val="16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航道整治项目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建设惠州港荃湾港区主航道扩建工程、惠州港东联作业区进港航道扩建工程、惠州港马鞭洲作业区主航道扩建工程、惠州港碧甲作业区进港主航道扩建工程。</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2021-2024</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233158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548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232610 </w:t>
            </w:r>
          </w:p>
        </w:tc>
      </w:tr>
      <w:tr>
        <w:tblPrEx>
          <w:tblCellMar>
            <w:top w:w="0" w:type="dxa"/>
            <w:left w:w="0" w:type="dxa"/>
            <w:bottom w:w="0" w:type="dxa"/>
            <w:right w:w="0" w:type="dxa"/>
          </w:tblCellMar>
        </w:tblPrEx>
        <w:trPr>
          <w:trHeight w:val="6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ascii="黑体" w:hAnsi="黑体" w:eastAsia="黑体" w:cs="黑体"/>
              </w:rPr>
            </w:pPr>
            <w:r>
              <w:rPr>
                <w:rFonts w:hint="eastAsia" w:ascii="黑体" w:hAnsi="黑体" w:eastAsia="黑体" w:cs="黑体"/>
              </w:rPr>
              <w:t>四</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rFonts w:ascii="黑体" w:hAnsi="黑体" w:eastAsia="黑体" w:cs="黑体"/>
              </w:rPr>
            </w:pPr>
            <w:r>
              <w:rPr>
                <w:rFonts w:hint="eastAsia" w:ascii="黑体" w:hAnsi="黑体" w:eastAsia="黑体" w:cs="黑体"/>
              </w:rPr>
              <w:t>生态环境建设领域</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26014615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1741461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18887154 </w:t>
            </w:r>
          </w:p>
        </w:tc>
      </w:tr>
      <w:tr>
        <w:tblPrEx>
          <w:tblCellMar>
            <w:top w:w="0" w:type="dxa"/>
            <w:left w:w="0" w:type="dxa"/>
            <w:bottom w:w="0" w:type="dxa"/>
            <w:right w:w="0" w:type="dxa"/>
          </w:tblCellMar>
        </w:tblPrEx>
        <w:trPr>
          <w:trHeight w:val="859"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能源转型升级工程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2018-2030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20852497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1451944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14014553 </w:t>
            </w:r>
          </w:p>
        </w:tc>
      </w:tr>
      <w:tr>
        <w:tblPrEx>
          <w:tblCellMar>
            <w:top w:w="0" w:type="dxa"/>
            <w:left w:w="0" w:type="dxa"/>
            <w:bottom w:w="0" w:type="dxa"/>
            <w:right w:w="0" w:type="dxa"/>
          </w:tblCellMar>
        </w:tblPrEx>
        <w:trPr>
          <w:trHeight w:val="14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海上风电项目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建设中广核惠州港口一期海上风电场项目、中广核惠州港口二期PA、PB海上风电场项目，“十四五”期间新增装机发电容量约100万千瓦。</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2018-2022</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1926460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430000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1496460 </w:t>
            </w:r>
          </w:p>
        </w:tc>
      </w:tr>
      <w:tr>
        <w:tblPrEx>
          <w:tblCellMar>
            <w:top w:w="0" w:type="dxa"/>
            <w:left w:w="0" w:type="dxa"/>
            <w:bottom w:w="0" w:type="dxa"/>
            <w:right w:w="0" w:type="dxa"/>
          </w:tblCellMar>
        </w:tblPrEx>
        <w:trPr>
          <w:trHeight w:val="12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核电项目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建成惠州太平岭核电项目一期，新开工建设太平岭核电项目二期，到2025年，新增发电装机容量240万千瓦。</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2019-2030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10840000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980000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5690000 </w:t>
            </w:r>
          </w:p>
        </w:tc>
      </w:tr>
      <w:tr>
        <w:tblPrEx>
          <w:tblCellMar>
            <w:top w:w="0" w:type="dxa"/>
            <w:left w:w="0" w:type="dxa"/>
            <w:bottom w:w="0" w:type="dxa"/>
            <w:right w:w="0" w:type="dxa"/>
          </w:tblCellMar>
        </w:tblPrEx>
        <w:trPr>
          <w:trHeight w:val="2902"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天然气发电项目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州深能源丰达电厂二期扩建项目、惠州平海电厂扩建燃机项目、惠州天然气发电公司三期热电联产项目、惠州深能源丰达电厂三期扩建项目、惠州龙门平陵LNG发电厂等，“十四五”期间新增发电装机容量563万千瓦。</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1647172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1422172 </w:t>
            </w:r>
          </w:p>
        </w:tc>
      </w:tr>
      <w:tr>
        <w:tblPrEx>
          <w:tblCellMar>
            <w:top w:w="0" w:type="dxa"/>
            <w:left w:w="0" w:type="dxa"/>
            <w:bottom w:w="0" w:type="dxa"/>
            <w:right w:w="0" w:type="dxa"/>
          </w:tblCellMar>
        </w:tblPrEx>
        <w:trPr>
          <w:trHeight w:val="1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天然气分布式能源站项目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建设大亚湾石化区西部能源站项目一期、二期。</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2018-2028</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600000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599000 </w:t>
            </w:r>
          </w:p>
        </w:tc>
      </w:tr>
      <w:tr>
        <w:tblPrEx>
          <w:tblCellMar>
            <w:top w:w="0" w:type="dxa"/>
            <w:left w:w="0" w:type="dxa"/>
            <w:bottom w:w="0" w:type="dxa"/>
            <w:right w:w="0" w:type="dxa"/>
          </w:tblCellMar>
        </w:tblPrEx>
        <w:trPr>
          <w:trHeight w:val="11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抽水蓄能电站项目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“十四五”新开工建设惠州中洞抽水蓄能电站，总装机容量120万千瓦。</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2024-2030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700000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200000 </w:t>
            </w:r>
          </w:p>
        </w:tc>
      </w:tr>
      <w:tr>
        <w:tblPrEx>
          <w:tblCellMar>
            <w:top w:w="0" w:type="dxa"/>
            <w:left w:w="0" w:type="dxa"/>
            <w:bottom w:w="0" w:type="dxa"/>
            <w:right w:w="0" w:type="dxa"/>
          </w:tblCellMar>
        </w:tblPrEx>
        <w:trPr>
          <w:trHeight w:val="8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（6）</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石油天然气项目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建设惠州LNG接收站项目一期、二期，惠州LNG接收站外输管道等项目。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1440685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35944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908741 </w:t>
            </w:r>
          </w:p>
        </w:tc>
      </w:tr>
      <w:tr>
        <w:tblPrEx>
          <w:tblCellMar>
            <w:top w:w="0" w:type="dxa"/>
            <w:left w:w="0" w:type="dxa"/>
            <w:bottom w:w="0" w:type="dxa"/>
            <w:right w:w="0" w:type="dxa"/>
          </w:tblCellMar>
        </w:tblPrEx>
        <w:trPr>
          <w:trHeight w:val="1284"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（7）</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电网项目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建设惠州110千伏、220千伏、500千伏输变电及线路工程。</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1967972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1967972 </w:t>
            </w:r>
          </w:p>
        </w:tc>
      </w:tr>
      <w:tr>
        <w:tblPrEx>
          <w:tblCellMar>
            <w:top w:w="0" w:type="dxa"/>
            <w:left w:w="0" w:type="dxa"/>
            <w:bottom w:w="0" w:type="dxa"/>
            <w:right w:w="0" w:type="dxa"/>
          </w:tblCellMar>
        </w:tblPrEx>
        <w:trPr>
          <w:trHeight w:val="22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（8）</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余热余气余压发电项目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州东江燃机热电项目、大亚湾石化区荃湾西部综合能源站项目一期、二期，惠州博罗长宁LNG天然气冷热电三联供项目、惠东新材料产业园热电联产项目、惠州博罗园洲燃气—蒸汽热电联产项目，“十四五”期间新增发电容量554万千瓦。</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1730208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1730208 </w:t>
            </w:r>
          </w:p>
        </w:tc>
      </w:tr>
      <w:tr>
        <w:tblPrEx>
          <w:tblCellMar>
            <w:top w:w="0" w:type="dxa"/>
            <w:left w:w="0" w:type="dxa"/>
            <w:bottom w:w="0" w:type="dxa"/>
            <w:right w:w="0" w:type="dxa"/>
          </w:tblCellMar>
        </w:tblPrEx>
        <w:trPr>
          <w:trHeight w:val="21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水利工程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spacing w:line="400" w:lineRule="exact"/>
              <w:jc w:val="both"/>
            </w:pPr>
            <w:r>
              <w:rPr>
                <w:rFonts w:hint="eastAsia"/>
              </w:rPr>
              <w:t>建设惠州市白花河防洪排涝治理工程、惠州市东江干流治理工程、惠州市大湾区堤防巩固提升工程、惠州仲恺高新区潼湖流域防洪排涝治理工程等，在惠东、惠阳、博罗、龙门、仲恺等地开展防洪排涝治理、水库除险加固工程。</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2020-2026</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3446001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26300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3419701 </w:t>
            </w:r>
          </w:p>
        </w:tc>
      </w:tr>
      <w:tr>
        <w:tblPrEx>
          <w:tblCellMar>
            <w:top w:w="0" w:type="dxa"/>
            <w:left w:w="0" w:type="dxa"/>
            <w:bottom w:w="0" w:type="dxa"/>
            <w:right w:w="0" w:type="dxa"/>
          </w:tblCellMar>
        </w:tblPrEx>
        <w:trPr>
          <w:trHeight w:val="506"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环保工程</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2019-2027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1716117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263217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1452900 </w:t>
            </w:r>
          </w:p>
        </w:tc>
      </w:tr>
      <w:tr>
        <w:tblPrEx>
          <w:tblCellMar>
            <w:top w:w="0" w:type="dxa"/>
            <w:left w:w="0" w:type="dxa"/>
            <w:bottom w:w="0" w:type="dxa"/>
            <w:right w:w="0" w:type="dxa"/>
          </w:tblCellMar>
        </w:tblPrEx>
        <w:trPr>
          <w:trHeight w:val="11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污水处理设施建设项目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建设惠州新材料产业园污水处理厂一期、大亚湾第一水质净化厂三期工程。</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2019-2022</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109304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35304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74000 </w:t>
            </w:r>
          </w:p>
        </w:tc>
      </w:tr>
      <w:tr>
        <w:tblPrEx>
          <w:tblCellMar>
            <w:top w:w="0" w:type="dxa"/>
            <w:left w:w="0" w:type="dxa"/>
            <w:bottom w:w="0" w:type="dxa"/>
            <w:right w:w="0" w:type="dxa"/>
          </w:tblCellMar>
        </w:tblPrEx>
        <w:trPr>
          <w:trHeight w:val="11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垃圾处理设施建设项目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建设惠州自立环保项目、惠阳环境园生活垃圾焚烧二期项目、惠州市生态园垃圾焚烧等垃圾处理设施项目。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2019-2027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928733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91800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836933 </w:t>
            </w:r>
          </w:p>
        </w:tc>
      </w:tr>
      <w:tr>
        <w:tblPrEx>
          <w:tblCellMar>
            <w:top w:w="0" w:type="dxa"/>
            <w:left w:w="0" w:type="dxa"/>
            <w:bottom w:w="0" w:type="dxa"/>
            <w:right w:w="0" w:type="dxa"/>
          </w:tblCellMar>
        </w:tblPrEx>
        <w:trPr>
          <w:trHeight w:val="110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生态环境综合治理项目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开展惠州市金山新城水环境综合整治工程、小金河水环境综合整治工程等生态环境综合治理建设。</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2019-2027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678080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136113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541967 </w:t>
            </w:r>
          </w:p>
        </w:tc>
      </w:tr>
      <w:tr>
        <w:tblPrEx>
          <w:tblCellMar>
            <w:top w:w="0" w:type="dxa"/>
            <w:left w:w="0" w:type="dxa"/>
            <w:bottom w:w="0" w:type="dxa"/>
            <w:right w:w="0" w:type="dxa"/>
          </w:tblCellMar>
        </w:tblPrEx>
        <w:trPr>
          <w:trHeight w:val="848"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rFonts w:ascii="黑体" w:hAnsi="黑体" w:eastAsia="黑体" w:cs="黑体"/>
              </w:rPr>
            </w:pPr>
            <w:r>
              <w:rPr>
                <w:rFonts w:hint="eastAsia" w:ascii="黑体" w:hAnsi="黑体" w:eastAsia="黑体" w:cs="黑体"/>
              </w:rPr>
              <w:t>五</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rFonts w:ascii="黑体" w:hAnsi="黑体" w:eastAsia="黑体" w:cs="黑体"/>
              </w:rPr>
            </w:pPr>
            <w:r>
              <w:rPr>
                <w:rFonts w:hint="eastAsia" w:ascii="黑体" w:hAnsi="黑体" w:eastAsia="黑体" w:cs="黑体"/>
              </w:rPr>
              <w:t>公共服务领域</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6718500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638742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5241758 </w:t>
            </w:r>
          </w:p>
        </w:tc>
      </w:tr>
      <w:tr>
        <w:tblPrEx>
          <w:tblCellMar>
            <w:top w:w="0" w:type="dxa"/>
            <w:left w:w="0" w:type="dxa"/>
            <w:bottom w:w="0" w:type="dxa"/>
            <w:right w:w="0" w:type="dxa"/>
          </w:tblCellMar>
        </w:tblPrEx>
        <w:trPr>
          <w:trHeight w:val="15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（一）</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城市公共基础设施</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spacing w:line="400" w:lineRule="exact"/>
              <w:jc w:val="both"/>
            </w:pPr>
            <w:r>
              <w:rPr>
                <w:rFonts w:hint="eastAsia"/>
              </w:rPr>
              <w:t>建设一批城市公共基础设施，涉及交通、邮电、供水供电、商业服务、科研与技术服务、园林绿化、环境保护、文化教育、卫生事业等市政公用工程设施和公共生活服务设施等。</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2011-2030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2533748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148411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2385337 </w:t>
            </w:r>
          </w:p>
        </w:tc>
      </w:tr>
      <w:tr>
        <w:tblPrEx>
          <w:tblCellMar>
            <w:top w:w="0" w:type="dxa"/>
            <w:left w:w="0" w:type="dxa"/>
            <w:bottom w:w="0" w:type="dxa"/>
            <w:right w:w="0" w:type="dxa"/>
          </w:tblCellMar>
        </w:tblPrEx>
        <w:trPr>
          <w:trHeight w:val="541"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（二）</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教育项目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2016-2027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1159985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220644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906341 </w:t>
            </w:r>
          </w:p>
        </w:tc>
      </w:tr>
      <w:tr>
        <w:tblPrEx>
          <w:tblCellMar>
            <w:top w:w="0" w:type="dxa"/>
            <w:left w:w="0" w:type="dxa"/>
            <w:bottom w:w="0" w:type="dxa"/>
            <w:right w:w="0" w:type="dxa"/>
          </w:tblCellMar>
        </w:tblPrEx>
        <w:trPr>
          <w:trHeight w:val="11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普及高水平公共教育建设项目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在惠城、惠阳、博罗、惠东、龙门、仲恺等地建设一批中小学，夯实优质基础教育，普及高水平公共教育。</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2016-2025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854985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153644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701341 </w:t>
            </w:r>
          </w:p>
        </w:tc>
      </w:tr>
      <w:tr>
        <w:tblPrEx>
          <w:tblCellMar>
            <w:top w:w="0" w:type="dxa"/>
            <w:left w:w="0" w:type="dxa"/>
            <w:bottom w:w="0" w:type="dxa"/>
            <w:right w:w="0" w:type="dxa"/>
          </w:tblCellMar>
        </w:tblPrEx>
        <w:trPr>
          <w:trHeight w:val="1283"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pPr>
            <w:r>
              <w:rPr>
                <w:rFonts w:hint="eastAsia"/>
              </w:rPr>
              <w:t>现代职业教育体系建设项目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spacing w:line="400" w:lineRule="exact"/>
              <w:jc w:val="both"/>
            </w:pPr>
            <w:r>
              <w:rPr>
                <w:rFonts w:hint="eastAsia"/>
              </w:rPr>
              <w:t>建设广东技术师范大学天河学院博罗龙华校区、惠东职业教育扩容迁建项目、龙门县职业技术学校扩容提质项目。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2017-2027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305000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67000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205000 </w:t>
            </w:r>
          </w:p>
        </w:tc>
      </w:tr>
      <w:tr>
        <w:tblPrEx>
          <w:tblCellMar>
            <w:top w:w="0" w:type="dxa"/>
            <w:left w:w="0" w:type="dxa"/>
            <w:bottom w:w="0" w:type="dxa"/>
            <w:right w:w="0" w:type="dxa"/>
          </w:tblCellMar>
        </w:tblPrEx>
        <w:trPr>
          <w:trHeight w:val="15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（三）</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医疗卫生建设项目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支持公共卫生服务体系建设、医疗卫生机构高质量发展、中医药能力提升工程等医疗卫生健康项目的基础设施建设、信息化建设、设备购置等。</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2018-2028</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1538427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125187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1178240 </w:t>
            </w:r>
          </w:p>
        </w:tc>
      </w:tr>
      <w:tr>
        <w:tblPrEx>
          <w:tblCellMar>
            <w:top w:w="0" w:type="dxa"/>
            <w:left w:w="0" w:type="dxa"/>
            <w:bottom w:w="0" w:type="dxa"/>
            <w:right w:w="0" w:type="dxa"/>
          </w:tblCellMar>
        </w:tblPrEx>
        <w:trPr>
          <w:trHeight w:val="8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（四）</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养老服务建设项目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建设平安罗浮山中医健康产业园项目。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2019-2030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800000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130000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300000 </w:t>
            </w:r>
          </w:p>
        </w:tc>
      </w:tr>
      <w:tr>
        <w:tblPrEx>
          <w:tblCellMar>
            <w:top w:w="0" w:type="dxa"/>
            <w:left w:w="0" w:type="dxa"/>
            <w:bottom w:w="0" w:type="dxa"/>
            <w:right w:w="0" w:type="dxa"/>
          </w:tblCellMar>
        </w:tblPrEx>
        <w:trPr>
          <w:trHeight w:val="1031"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（五）</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文化场馆建设项目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建设一批图书馆、文化馆、科学馆等公共文化设施项目。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2020-2028</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565740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6000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359740 </w:t>
            </w:r>
          </w:p>
        </w:tc>
      </w:tr>
      <w:tr>
        <w:tblPrEx>
          <w:tblCellMar>
            <w:top w:w="0" w:type="dxa"/>
            <w:left w:w="0" w:type="dxa"/>
            <w:bottom w:w="0" w:type="dxa"/>
            <w:right w:w="0" w:type="dxa"/>
          </w:tblCellMar>
        </w:tblPrEx>
        <w:trPr>
          <w:trHeight w:val="891"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（六）</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住房保障建设项目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在惠城区建设一批老旧小区安置房，共新增1444套。</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2020-2023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97600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8500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89100 </w:t>
            </w:r>
          </w:p>
        </w:tc>
      </w:tr>
      <w:tr>
        <w:tblPrEx>
          <w:tblCellMar>
            <w:top w:w="0" w:type="dxa"/>
            <w:left w:w="0" w:type="dxa"/>
            <w:bottom w:w="0" w:type="dxa"/>
            <w:right w:w="0" w:type="dxa"/>
          </w:tblCellMar>
        </w:tblPrEx>
        <w:trPr>
          <w:trHeight w:val="924"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rPr>
                <w:b/>
                <w:bCs/>
              </w:rPr>
            </w:pPr>
            <w:r>
              <w:rPr>
                <w:rFonts w:hint="eastAsia"/>
                <w:b/>
                <w:bCs/>
              </w:rPr>
              <w:t>（七）</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left"/>
              <w:rPr>
                <w:b/>
                <w:bCs/>
              </w:rPr>
            </w:pPr>
            <w:r>
              <w:rPr>
                <w:rFonts w:hint="eastAsia"/>
                <w:b/>
                <w:bCs/>
              </w:rPr>
              <w:t>应急保障建设项目</w:t>
            </w:r>
          </w:p>
        </w:tc>
        <w:tc>
          <w:tcPr>
            <w:tcW w:w="2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jc w:val="both"/>
            </w:pPr>
            <w:r>
              <w:rPr>
                <w:rFonts w:hint="eastAsia"/>
              </w:rPr>
              <w:t>新开工建设惠城区粮食局六万吨粮食仓库建设项目。</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2021-2025</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23000 </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0 </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Pr>
            <w:r>
              <w:rPr>
                <w:rFonts w:hint="eastAsia"/>
              </w:rPr>
              <w:t xml:space="preserve">23000 </w:t>
            </w:r>
          </w:p>
        </w:tc>
      </w:tr>
    </w:tbl>
    <w:p>
      <w:pPr>
        <w:widowControl/>
        <w:spacing w:line="240" w:lineRule="auto"/>
        <w:ind w:firstLine="0" w:firstLineChars="0"/>
        <w:jc w:val="left"/>
        <w:sectPr>
          <w:pgSz w:w="11906" w:h="16838"/>
          <w:pgMar w:top="1814" w:right="1474" w:bottom="1418" w:left="1474" w:header="851" w:footer="992" w:gutter="0"/>
          <w:cols w:space="720" w:num="1"/>
          <w:docGrid w:linePitch="435" w:charSpace="0"/>
        </w:sectPr>
      </w:pPr>
    </w:p>
    <w:p>
      <w:pPr>
        <w:pStyle w:val="2"/>
        <w:spacing w:line="560" w:lineRule="exact"/>
        <w:ind w:left="0" w:leftChars="0" w:firstLine="0" w:firstLineChars="0"/>
        <w:rPr>
          <w:rFonts w:hAnsi="仿宋" w:eastAsia="仿宋"/>
          <w:sz w:val="32"/>
          <w:szCs w:val="32"/>
        </w:rPr>
      </w:pPr>
      <w:bookmarkStart w:id="324" w:name="_GoBack"/>
      <w:bookmarkEnd w:id="324"/>
    </w:p>
    <w:sectPr>
      <w:headerReference r:id="rId11" w:type="first"/>
      <w:footerReference r:id="rId14" w:type="first"/>
      <w:headerReference r:id="rId9" w:type="default"/>
      <w:footerReference r:id="rId12" w:type="default"/>
      <w:headerReference r:id="rId10" w:type="even"/>
      <w:footerReference r:id="rId13" w:type="even"/>
      <w:pgSz w:w="11906" w:h="16838"/>
      <w:pgMar w:top="1701" w:right="1418" w:bottom="1701" w:left="1588" w:header="851" w:footer="1247" w:gutter="0"/>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FZSYJW--GB1-0">
    <w:altName w:val="宋体"/>
    <w:panose1 w:val="00000000000000000000"/>
    <w:charset w:val="86"/>
    <w:family w:val="auto"/>
    <w:pitch w:val="default"/>
    <w:sig w:usb0="00000000" w:usb1="00000000" w:usb2="00000000" w:usb3="00000000" w:csb0="00040000" w:csb1="00000000"/>
  </w:font>
  <w:font w:name="方正小标宋简体">
    <w:altName w:val="方正舒体"/>
    <w:panose1 w:val="03000509000000000000"/>
    <w:charset w:val="86"/>
    <w:family w:val="script"/>
    <w:pitch w:val="default"/>
    <w:sig w:usb0="00000000" w:usb1="00000000" w:usb2="00000010" w:usb3="00000000" w:csb0="00040000" w:csb1="00000000"/>
  </w:font>
  <w:font w:name="方正楷体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创艺简标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40" w:lineRule="auto"/>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40" w:lineRule="auto"/>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40" w:lineRule="auto"/>
      <w:ind w:firstLine="0" w:firstLineChars="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287020" cy="355600"/>
              <wp:effectExtent l="0" t="0" r="11430" b="0"/>
              <wp:wrapNone/>
              <wp:docPr id="8" name="文本框 8"/>
              <wp:cNvGraphicFramePr/>
              <a:graphic xmlns:a="http://schemas.openxmlformats.org/drawingml/2006/main">
                <a:graphicData uri="http://schemas.microsoft.com/office/word/2010/wordprocessingShape">
                  <wps:wsp>
                    <wps:cNvSpPr txBox="1"/>
                    <wps:spPr>
                      <a:xfrm>
                        <a:off x="0" y="0"/>
                        <a:ext cx="287020" cy="355600"/>
                      </a:xfrm>
                      <a:prstGeom prst="rect">
                        <a:avLst/>
                      </a:prstGeom>
                      <a:noFill/>
                      <a:ln w="6350">
                        <a:noFill/>
                      </a:ln>
                      <a:effectLst/>
                    </wps:spPr>
                    <wps:txbx>
                      <w:txbxContent>
                        <w:p>
                          <w:pPr>
                            <w:pStyle w:val="11"/>
                            <w:spacing w:line="240" w:lineRule="auto"/>
                            <w:ind w:firstLine="0" w:firstLineChars="0"/>
                            <w:rPr>
                              <w:sz w:val="21"/>
                              <w:szCs w:val="21"/>
                            </w:rPr>
                          </w:pPr>
                          <w:r>
                            <w:rPr>
                              <w:sz w:val="21"/>
                              <w:szCs w:val="21"/>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21"/>
                              <w:szCs w:val="21"/>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8pt;width:22.6pt;mso-position-horizontal:outside;mso-position-horizontal-relative:margin;mso-wrap-style:none;z-index:251660288;mso-width-relative:page;mso-height-relative:page;" filled="f" stroked="f" coordsize="21600,21600" o:gfxdata="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UO6tf0gAAAAMBAAAPAAAAAAAAAAEAIAAAACIAAABkcnMvZG93bnJldi54bWxQ&#10;SwECFAAUAAAACACHTuJA2bfQ/DYCAABhBAAADgAAAAAAAAABACAAAAAhAQAAZHJzL2Uyb0RvYy54&#10;bWxQSwUGAAAAAAYABgBZAQAAyQUAAAAA&#10;">
              <v:fill on="f" focussize="0,0"/>
              <v:stroke on="f" weight="0.5pt"/>
              <v:imagedata o:title=""/>
              <o:lock v:ext="edit" aspectratio="f"/>
              <v:textbox inset="0mm,0mm,0mm,0mm" style="mso-fit-shape-to-text:t;">
                <w:txbxContent>
                  <w:p>
                    <w:pPr>
                      <w:pStyle w:val="11"/>
                      <w:spacing w:line="240" w:lineRule="auto"/>
                      <w:ind w:firstLine="0" w:firstLineChars="0"/>
                      <w:rPr>
                        <w:sz w:val="21"/>
                        <w:szCs w:val="21"/>
                      </w:rPr>
                    </w:pPr>
                    <w:r>
                      <w:rPr>
                        <w:sz w:val="21"/>
                        <w:szCs w:val="21"/>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21"/>
                        <w:szCs w:val="21"/>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40" w:lineRule="auto"/>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2">
    <w:p>
      <w:pPr>
        <w:spacing w:line="240" w:lineRule="auto"/>
        <w:ind w:firstLine="640"/>
      </w:pPr>
      <w:r>
        <w:separator/>
      </w:r>
    </w:p>
  </w:footnote>
  <w:footnote w:type="continuationSeparator" w:id="33">
    <w:p>
      <w:pPr>
        <w:spacing w:line="240" w:lineRule="auto"/>
        <w:ind w:firstLine="640"/>
      </w:pPr>
      <w:r>
        <w:continuationSeparator/>
      </w:r>
    </w:p>
  </w:footnote>
  <w:footnote w:id="0">
    <w:p>
      <w:pPr>
        <w:pStyle w:val="14"/>
        <w:spacing w:line="320" w:lineRule="exact"/>
        <w:ind w:firstLine="360"/>
        <w:jc w:val="both"/>
      </w:pPr>
      <w:r>
        <w:rPr>
          <w:rStyle w:val="21"/>
          <w:vertAlign w:val="baseline"/>
        </w:rPr>
        <w:footnoteRef/>
      </w:r>
      <w:r>
        <w:t xml:space="preserve"> </w:t>
      </w:r>
      <w:r>
        <w:rPr>
          <w:rFonts w:hint="eastAsia"/>
        </w:rPr>
        <w:t>五大片区：仲恺片区（仲恺高新区高端产业合作区及潼湖生态智慧区）、大亚湾化工及海港保税区、惠州空港经济产业园、惠城区高新科技产业园、罗浮新区康养国际合作园。</w:t>
      </w:r>
    </w:p>
  </w:footnote>
  <w:footnote w:id="1">
    <w:p>
      <w:pPr>
        <w:pStyle w:val="14"/>
        <w:spacing w:line="200" w:lineRule="exact"/>
        <w:ind w:firstLine="360"/>
      </w:pPr>
      <w:r>
        <w:rPr>
          <w:rStyle w:val="21"/>
          <w:vertAlign w:val="baseline"/>
        </w:rPr>
        <w:footnoteRef/>
      </w:r>
      <w:r>
        <w:t xml:space="preserve"> </w:t>
      </w:r>
      <w:r>
        <w:rPr>
          <w:rFonts w:hint="eastAsia"/>
        </w:rPr>
        <w:t>一核一带一区：“一核”指珠三角核心区，包括广州、深圳、珠海、佛山、东莞、中山、江门7市全域，惠州市城区和博罗、惠东2县以及肇庆市城区和四会市。“一带”指沿海经济带，包括珠三角沿海城市和东西两翼沿海地区。东翼以汕头市为中心，包括汕头、潮州2市全域，揭阳市城区和惠来、普宁2县（市），汕尾市城区和海丰、陆丰2县；西翼以湛江市为中心，包括湛江市全域，茂名市城区，阳江市城区和阳东、阳西2县。“一区”指北部生态发展区，包括韶关、梅州、清远、河源、云浮5市全域，惠州市龙门县，肇庆市广宁、封开、德庆、怀集4县，以及粤东粤西地区的揭西、陆河、阳春、高州、化州、信宜6县（市）。</w:t>
      </w:r>
    </w:p>
  </w:footnote>
  <w:footnote w:id="2">
    <w:p>
      <w:pPr>
        <w:pStyle w:val="14"/>
        <w:spacing w:line="200" w:lineRule="exact"/>
        <w:ind w:firstLine="360"/>
      </w:pPr>
      <w:r>
        <w:rPr>
          <w:rStyle w:val="21"/>
          <w:vertAlign w:val="baseline"/>
        </w:rPr>
        <w:footnoteRef/>
      </w:r>
      <w:r>
        <w:t xml:space="preserve"> </w:t>
      </w:r>
      <w:r>
        <w:rPr>
          <w:rFonts w:hint="eastAsia"/>
        </w:rPr>
        <w:t>“五位一体”：经济建设、政治建设、文化建设、社会建设和生态文明建设五位一体。</w:t>
      </w:r>
    </w:p>
  </w:footnote>
  <w:footnote w:id="3">
    <w:p>
      <w:pPr>
        <w:pStyle w:val="14"/>
        <w:spacing w:line="200" w:lineRule="exact"/>
        <w:ind w:firstLine="360"/>
      </w:pPr>
      <w:r>
        <w:rPr>
          <w:rStyle w:val="21"/>
          <w:vertAlign w:val="baseline"/>
        </w:rPr>
        <w:footnoteRef/>
      </w:r>
      <w:r>
        <w:t xml:space="preserve"> </w:t>
      </w:r>
      <w:r>
        <w:rPr>
          <w:rFonts w:hint="eastAsia"/>
        </w:rPr>
        <w:t>“四个全面”：全面建设社会主义现代化国家、全面深化改革、全面依法治国、全面从严治党。</w:t>
      </w:r>
    </w:p>
  </w:footnote>
  <w:footnote w:id="4">
    <w:p>
      <w:pPr>
        <w:pStyle w:val="14"/>
        <w:spacing w:line="200" w:lineRule="exact"/>
        <w:ind w:firstLine="360"/>
      </w:pPr>
      <w:r>
        <w:rPr>
          <w:rStyle w:val="21"/>
          <w:vertAlign w:val="baseline"/>
        </w:rPr>
        <w:footnoteRef/>
      </w:r>
      <w:r>
        <w:t xml:space="preserve"> </w:t>
      </w:r>
      <w:r>
        <w:rPr>
          <w:rFonts w:hint="eastAsia"/>
        </w:rPr>
        <w:t>“双区”：建设粤港澳大湾区和深圳建设中国特色社会主义先行示范区。</w:t>
      </w:r>
    </w:p>
  </w:footnote>
  <w:footnote w:id="5">
    <w:p>
      <w:pPr>
        <w:pStyle w:val="14"/>
        <w:spacing w:line="200" w:lineRule="exact"/>
        <w:ind w:firstLine="360"/>
      </w:pPr>
      <w:r>
        <w:rPr>
          <w:rStyle w:val="21"/>
          <w:vertAlign w:val="baseline"/>
        </w:rPr>
        <w:footnoteRef/>
      </w:r>
      <w:r>
        <w:t xml:space="preserve"> </w:t>
      </w:r>
      <w:r>
        <w:rPr>
          <w:rFonts w:hint="eastAsia"/>
        </w:rPr>
        <w:t>“1+1+9”：第一个“1”是指坚定不移加强党的领导和党的建设，第二个“1”是指以新担当新作为不断把改革开放推向深入，“9”是指扎实推进9个方面重点工作，包括举全省之力推进粤港澳大湾区建设和支持深圳建设中国特色社会主义先行示范区；扎实推进高质量发展、打造新发展格局的战略支点；加快建设科技创新强省；加快建设现代化经济体系；全面实施乡村振兴战略；高质量加快构建“一核一带一区”区域发展格局；深入推进文化强省建设；营造共建共治共享社会治理格局；统筹发展和安全建设更高水平的平安广东。</w:t>
      </w:r>
    </w:p>
  </w:footnote>
  <w:footnote w:id="6">
    <w:p>
      <w:pPr>
        <w:pStyle w:val="14"/>
        <w:spacing w:line="200" w:lineRule="exact"/>
        <w:ind w:firstLine="360"/>
      </w:pPr>
      <w:r>
        <w:rPr>
          <w:rStyle w:val="21"/>
          <w:vertAlign w:val="baseline"/>
        </w:rPr>
        <w:footnoteRef/>
      </w:r>
      <w:r>
        <w:t xml:space="preserve"> </w:t>
      </w:r>
      <w:r>
        <w:rPr>
          <w:rFonts w:hint="eastAsia"/>
        </w:rPr>
        <w:t>四个意识：是指政治意识、大局意识、核心意识、看齐意识。</w:t>
      </w:r>
    </w:p>
  </w:footnote>
  <w:footnote w:id="7">
    <w:p>
      <w:pPr>
        <w:pStyle w:val="14"/>
        <w:spacing w:line="200" w:lineRule="exact"/>
        <w:ind w:firstLine="360"/>
      </w:pPr>
      <w:r>
        <w:rPr>
          <w:rStyle w:val="21"/>
          <w:vertAlign w:val="baseline"/>
        </w:rPr>
        <w:footnoteRef/>
      </w:r>
      <w:r>
        <w:t xml:space="preserve"> </w:t>
      </w:r>
      <w:r>
        <w:rPr>
          <w:rFonts w:hint="eastAsia"/>
        </w:rPr>
        <w:t>四个自信：是指中国特色社会主义道路自信、理论自信、制度自信、文化自信。</w:t>
      </w:r>
    </w:p>
  </w:footnote>
  <w:footnote w:id="8">
    <w:p>
      <w:pPr>
        <w:pStyle w:val="14"/>
        <w:spacing w:line="200" w:lineRule="exact"/>
        <w:ind w:firstLine="360"/>
      </w:pPr>
      <w:r>
        <w:rPr>
          <w:rStyle w:val="21"/>
          <w:vertAlign w:val="baseline"/>
        </w:rPr>
        <w:footnoteRef/>
      </w:r>
      <w:r>
        <w:t xml:space="preserve"> </w:t>
      </w:r>
      <w:r>
        <w:rPr>
          <w:rFonts w:hint="eastAsia"/>
          <w:spacing w:val="-4"/>
        </w:rPr>
        <w:t>两个维护：是指坚决维护习近平总书记党中央的核心、全党的核心地位，坚决维护党中央权威和集中统一领导。</w:t>
      </w:r>
    </w:p>
  </w:footnote>
  <w:footnote w:id="9">
    <w:p>
      <w:pPr>
        <w:pStyle w:val="14"/>
        <w:spacing w:line="200" w:lineRule="exact"/>
        <w:ind w:firstLine="360"/>
      </w:pPr>
      <w:r>
        <w:rPr>
          <w:rFonts w:hint="eastAsia"/>
        </w:rPr>
        <w:footnoteRef/>
      </w:r>
      <w:r>
        <w:rPr>
          <w:rFonts w:hint="eastAsia"/>
        </w:rPr>
        <w:t xml:space="preserve"> 双随机、一公开：是指在监管过程中随机抽取检查对象，随机选派执法检查人员，抽查情况及查处结果及时向社会公开。</w:t>
      </w:r>
    </w:p>
  </w:footnote>
  <w:footnote w:id="10">
    <w:p>
      <w:pPr>
        <w:pStyle w:val="14"/>
        <w:spacing w:line="200" w:lineRule="exact"/>
        <w:ind w:firstLine="360"/>
      </w:pPr>
      <w:r>
        <w:rPr>
          <w:rFonts w:hint="eastAsia"/>
        </w:rPr>
        <w:footnoteRef/>
      </w:r>
      <w:r>
        <w:rPr>
          <w:rFonts w:hint="eastAsia"/>
        </w:rPr>
        <w:t xml:space="preserve"> 四个出新出彩：推动综合城市功能、城市文化综合实力、现代服务业、现代化国际化营商环境出新出彩。</w:t>
      </w:r>
    </w:p>
  </w:footnote>
  <w:footnote w:id="11">
    <w:p>
      <w:pPr>
        <w:pStyle w:val="14"/>
        <w:spacing w:line="200" w:lineRule="exact"/>
        <w:ind w:firstLine="360"/>
      </w:pPr>
      <w:r>
        <w:rPr>
          <w:rStyle w:val="21"/>
          <w:vertAlign w:val="baseline"/>
        </w:rPr>
        <w:footnoteRef/>
      </w:r>
      <w:r>
        <w:t xml:space="preserve"> </w:t>
      </w:r>
      <w:r>
        <w:rPr>
          <w:rFonts w:hint="eastAsia"/>
        </w:rPr>
        <w:t>耕地“非农化”：是指违规占用耕地绿化造林、超标准建设绿色通道、违规占用耕地挖湖造景、占用永久基本农田扩大自然保护地、违规占用耕地从事非农建设等行为。</w:t>
      </w:r>
    </w:p>
  </w:footnote>
  <w:footnote w:id="12">
    <w:p>
      <w:pPr>
        <w:pStyle w:val="14"/>
        <w:spacing w:line="200" w:lineRule="exact"/>
        <w:ind w:firstLine="360"/>
      </w:pPr>
      <w:r>
        <w:rPr>
          <w:rStyle w:val="21"/>
          <w:vertAlign w:val="baseline"/>
        </w:rPr>
        <w:footnoteRef/>
      </w:r>
      <w:r>
        <w:t xml:space="preserve"> </w:t>
      </w:r>
      <w:r>
        <w:rPr>
          <w:rFonts w:hint="eastAsia"/>
        </w:rPr>
        <w:t>一户一宅：是指农村居民一户只能拥有一处宅基地，且宅地基面积不得超过省、直辖市、自治区规定的面积标准。</w:t>
      </w:r>
    </w:p>
  </w:footnote>
  <w:footnote w:id="13">
    <w:p>
      <w:pPr>
        <w:pStyle w:val="14"/>
        <w:spacing w:line="600" w:lineRule="exact"/>
        <w:ind w:firstLine="360"/>
      </w:pPr>
      <w:r>
        <w:rPr>
          <w:rStyle w:val="21"/>
          <w:vertAlign w:val="baseline"/>
        </w:rPr>
        <w:footnoteRef/>
      </w:r>
      <w:r>
        <w:t xml:space="preserve"> </w:t>
      </w:r>
      <w:r>
        <w:rPr>
          <w:rFonts w:hint="eastAsia"/>
        </w:rPr>
        <w:t>两项补贴：是指困难残疾人生活补贴和重度残疾人护理补贴两项补贴。</w:t>
      </w:r>
    </w:p>
  </w:footnote>
  <w:footnote w:id="14">
    <w:p>
      <w:pPr>
        <w:pStyle w:val="14"/>
        <w:spacing w:line="200" w:lineRule="exact"/>
      </w:pPr>
      <w:r>
        <w:rPr>
          <w:rStyle w:val="21"/>
          <w:sz w:val="21"/>
          <w:szCs w:val="22"/>
          <w:vertAlign w:val="baseline"/>
        </w:rPr>
        <w:footnoteRef/>
      </w:r>
      <w:r>
        <w:rPr>
          <w:rStyle w:val="21"/>
          <w:sz w:val="21"/>
          <w:szCs w:val="22"/>
          <w:vertAlign w:val="baseline"/>
        </w:rPr>
        <w:t xml:space="preserve"> </w:t>
      </w:r>
      <w:r>
        <w:rPr>
          <w:rStyle w:val="21"/>
          <w:rFonts w:hint="eastAsia"/>
          <w:sz w:val="21"/>
          <w:szCs w:val="22"/>
          <w:vertAlign w:val="baseline"/>
        </w:rPr>
        <w:t>一线</w:t>
      </w:r>
      <w:r>
        <w:rPr>
          <w:rFonts w:hint="eastAsia"/>
        </w:rPr>
        <w:t>三排：“一线”是坚守发展决不能以牺牲安全为代价这条不可逾越的红线；“三排”：是指排查、排序、排除。</w:t>
      </w:r>
    </w:p>
  </w:footnote>
  <w:footnote w:id="15">
    <w:p>
      <w:pPr>
        <w:pStyle w:val="14"/>
        <w:spacing w:line="200" w:lineRule="exact"/>
      </w:pPr>
      <w:r>
        <w:rPr>
          <w:rStyle w:val="21"/>
          <w:sz w:val="21"/>
          <w:szCs w:val="22"/>
          <w:vertAlign w:val="baseline"/>
        </w:rPr>
        <w:footnoteRef/>
      </w:r>
      <w:r>
        <w:rPr>
          <w:rStyle w:val="21"/>
          <w:sz w:val="21"/>
          <w:szCs w:val="22"/>
          <w:vertAlign w:val="baseline"/>
        </w:rPr>
        <w:t xml:space="preserve"> </w:t>
      </w:r>
      <w:r>
        <w:rPr>
          <w:rStyle w:val="21"/>
          <w:rFonts w:hint="eastAsia"/>
          <w:sz w:val="21"/>
          <w:szCs w:val="22"/>
          <w:vertAlign w:val="baseline"/>
        </w:rPr>
        <w:t>一体三预</w:t>
      </w:r>
      <w:r>
        <w:rPr>
          <w:rFonts w:hint="eastAsia"/>
        </w:rPr>
        <w:t>：“一体”是指科学有效、从上到下、左右贯通的应急指挥体系；“三预”是指事前预判、临灾预告、短临预警。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footnotePr>
    <w:footnote w:id="32"/>
    <w:footnote w:id="3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940224"/>
    <w:rsid w:val="000171B5"/>
    <w:rsid w:val="00026CB8"/>
    <w:rsid w:val="00045370"/>
    <w:rsid w:val="00047862"/>
    <w:rsid w:val="000527EC"/>
    <w:rsid w:val="00065ADE"/>
    <w:rsid w:val="00080882"/>
    <w:rsid w:val="00083D17"/>
    <w:rsid w:val="000B0731"/>
    <w:rsid w:val="000B67E4"/>
    <w:rsid w:val="000C16E3"/>
    <w:rsid w:val="000C1A4C"/>
    <w:rsid w:val="000C1EFD"/>
    <w:rsid w:val="000D40FC"/>
    <w:rsid w:val="000D6163"/>
    <w:rsid w:val="000F3DD0"/>
    <w:rsid w:val="000F550D"/>
    <w:rsid w:val="0010554B"/>
    <w:rsid w:val="001061B7"/>
    <w:rsid w:val="0013338F"/>
    <w:rsid w:val="00144698"/>
    <w:rsid w:val="001472D6"/>
    <w:rsid w:val="00151356"/>
    <w:rsid w:val="00172919"/>
    <w:rsid w:val="00175A16"/>
    <w:rsid w:val="00182567"/>
    <w:rsid w:val="00187803"/>
    <w:rsid w:val="001A1111"/>
    <w:rsid w:val="001A7270"/>
    <w:rsid w:val="00201D20"/>
    <w:rsid w:val="0021418E"/>
    <w:rsid w:val="00217838"/>
    <w:rsid w:val="002229E6"/>
    <w:rsid w:val="002417EB"/>
    <w:rsid w:val="0025468B"/>
    <w:rsid w:val="0027355A"/>
    <w:rsid w:val="00273A23"/>
    <w:rsid w:val="002B3131"/>
    <w:rsid w:val="002D7499"/>
    <w:rsid w:val="002E0DF5"/>
    <w:rsid w:val="002E3020"/>
    <w:rsid w:val="002E4524"/>
    <w:rsid w:val="002E54B7"/>
    <w:rsid w:val="002F645E"/>
    <w:rsid w:val="00333EA9"/>
    <w:rsid w:val="003508C4"/>
    <w:rsid w:val="00371F24"/>
    <w:rsid w:val="00382F39"/>
    <w:rsid w:val="00385C58"/>
    <w:rsid w:val="003A1AFD"/>
    <w:rsid w:val="003A5263"/>
    <w:rsid w:val="003B076B"/>
    <w:rsid w:val="003C433B"/>
    <w:rsid w:val="003C68BB"/>
    <w:rsid w:val="003E535B"/>
    <w:rsid w:val="00412B4B"/>
    <w:rsid w:val="0041709D"/>
    <w:rsid w:val="00440209"/>
    <w:rsid w:val="00451844"/>
    <w:rsid w:val="004608AB"/>
    <w:rsid w:val="0046194B"/>
    <w:rsid w:val="00464EE1"/>
    <w:rsid w:val="00480C90"/>
    <w:rsid w:val="00481413"/>
    <w:rsid w:val="00487D5D"/>
    <w:rsid w:val="004910BD"/>
    <w:rsid w:val="00494962"/>
    <w:rsid w:val="004C734C"/>
    <w:rsid w:val="004D1C6E"/>
    <w:rsid w:val="00501A3A"/>
    <w:rsid w:val="00510B00"/>
    <w:rsid w:val="00523098"/>
    <w:rsid w:val="00533139"/>
    <w:rsid w:val="005475D8"/>
    <w:rsid w:val="0056501D"/>
    <w:rsid w:val="0057011D"/>
    <w:rsid w:val="005B2C7B"/>
    <w:rsid w:val="005B3194"/>
    <w:rsid w:val="005C09EC"/>
    <w:rsid w:val="005D0F2A"/>
    <w:rsid w:val="005E6E2A"/>
    <w:rsid w:val="005F327B"/>
    <w:rsid w:val="00611FAF"/>
    <w:rsid w:val="006207CB"/>
    <w:rsid w:val="0062340F"/>
    <w:rsid w:val="00625924"/>
    <w:rsid w:val="006319B8"/>
    <w:rsid w:val="00641073"/>
    <w:rsid w:val="006543F0"/>
    <w:rsid w:val="00661E06"/>
    <w:rsid w:val="00680968"/>
    <w:rsid w:val="00685E3B"/>
    <w:rsid w:val="006A1845"/>
    <w:rsid w:val="006A6FE6"/>
    <w:rsid w:val="006F2A21"/>
    <w:rsid w:val="00701FE0"/>
    <w:rsid w:val="0070527A"/>
    <w:rsid w:val="007135F6"/>
    <w:rsid w:val="00724193"/>
    <w:rsid w:val="0075643C"/>
    <w:rsid w:val="00757C19"/>
    <w:rsid w:val="00770F23"/>
    <w:rsid w:val="00782EB1"/>
    <w:rsid w:val="007A5D60"/>
    <w:rsid w:val="007A6894"/>
    <w:rsid w:val="007B5281"/>
    <w:rsid w:val="007B7BD7"/>
    <w:rsid w:val="007C055B"/>
    <w:rsid w:val="007C28D8"/>
    <w:rsid w:val="007C36CA"/>
    <w:rsid w:val="007D2C9D"/>
    <w:rsid w:val="007E1350"/>
    <w:rsid w:val="007E440F"/>
    <w:rsid w:val="007E5FFA"/>
    <w:rsid w:val="007E6B31"/>
    <w:rsid w:val="00803129"/>
    <w:rsid w:val="008066F4"/>
    <w:rsid w:val="00820AFC"/>
    <w:rsid w:val="008228A0"/>
    <w:rsid w:val="0082670C"/>
    <w:rsid w:val="00827DEB"/>
    <w:rsid w:val="008303D6"/>
    <w:rsid w:val="0083259A"/>
    <w:rsid w:val="00864F7D"/>
    <w:rsid w:val="008757AA"/>
    <w:rsid w:val="00884BF3"/>
    <w:rsid w:val="00886763"/>
    <w:rsid w:val="00895C69"/>
    <w:rsid w:val="008B07C4"/>
    <w:rsid w:val="008B52B5"/>
    <w:rsid w:val="008C7FC6"/>
    <w:rsid w:val="008F425D"/>
    <w:rsid w:val="00904740"/>
    <w:rsid w:val="009053AC"/>
    <w:rsid w:val="009121CF"/>
    <w:rsid w:val="00924E0C"/>
    <w:rsid w:val="00926BCE"/>
    <w:rsid w:val="00952FB4"/>
    <w:rsid w:val="00965280"/>
    <w:rsid w:val="00991545"/>
    <w:rsid w:val="009A4C5A"/>
    <w:rsid w:val="009A5FA9"/>
    <w:rsid w:val="009C311D"/>
    <w:rsid w:val="009C4394"/>
    <w:rsid w:val="009D3007"/>
    <w:rsid w:val="009E7537"/>
    <w:rsid w:val="00A111FB"/>
    <w:rsid w:val="00A20098"/>
    <w:rsid w:val="00A31A75"/>
    <w:rsid w:val="00A439CB"/>
    <w:rsid w:val="00A45816"/>
    <w:rsid w:val="00A53AEF"/>
    <w:rsid w:val="00A62DA0"/>
    <w:rsid w:val="00A91E2F"/>
    <w:rsid w:val="00A964D9"/>
    <w:rsid w:val="00AA27A8"/>
    <w:rsid w:val="00AB4AEB"/>
    <w:rsid w:val="00B63FE4"/>
    <w:rsid w:val="00B80AD9"/>
    <w:rsid w:val="00B91DE3"/>
    <w:rsid w:val="00B94D3E"/>
    <w:rsid w:val="00B95782"/>
    <w:rsid w:val="00B960C9"/>
    <w:rsid w:val="00BB2936"/>
    <w:rsid w:val="00BB3BF7"/>
    <w:rsid w:val="00BC1368"/>
    <w:rsid w:val="00BD422E"/>
    <w:rsid w:val="00BE3079"/>
    <w:rsid w:val="00C0062E"/>
    <w:rsid w:val="00C02E48"/>
    <w:rsid w:val="00C05790"/>
    <w:rsid w:val="00C46DE8"/>
    <w:rsid w:val="00C63239"/>
    <w:rsid w:val="00C76236"/>
    <w:rsid w:val="00C9771D"/>
    <w:rsid w:val="00CB0567"/>
    <w:rsid w:val="00CB2D57"/>
    <w:rsid w:val="00CB4BB2"/>
    <w:rsid w:val="00CC4A19"/>
    <w:rsid w:val="00CD4A47"/>
    <w:rsid w:val="00CF2B77"/>
    <w:rsid w:val="00D00149"/>
    <w:rsid w:val="00D212E3"/>
    <w:rsid w:val="00D42185"/>
    <w:rsid w:val="00D44B41"/>
    <w:rsid w:val="00D52D19"/>
    <w:rsid w:val="00D54F43"/>
    <w:rsid w:val="00D617C6"/>
    <w:rsid w:val="00D659C9"/>
    <w:rsid w:val="00D8666B"/>
    <w:rsid w:val="00D86F8F"/>
    <w:rsid w:val="00D91D36"/>
    <w:rsid w:val="00D97CF8"/>
    <w:rsid w:val="00DA3493"/>
    <w:rsid w:val="00DC72C2"/>
    <w:rsid w:val="00DC7C50"/>
    <w:rsid w:val="00DD5404"/>
    <w:rsid w:val="00DF43E5"/>
    <w:rsid w:val="00E13B10"/>
    <w:rsid w:val="00E46AF1"/>
    <w:rsid w:val="00E52C88"/>
    <w:rsid w:val="00E56AFF"/>
    <w:rsid w:val="00E668EC"/>
    <w:rsid w:val="00E70661"/>
    <w:rsid w:val="00E80D36"/>
    <w:rsid w:val="00E919A5"/>
    <w:rsid w:val="00E95F39"/>
    <w:rsid w:val="00EC47F1"/>
    <w:rsid w:val="00ED1A25"/>
    <w:rsid w:val="00EE174D"/>
    <w:rsid w:val="00EE349D"/>
    <w:rsid w:val="00EF3C5F"/>
    <w:rsid w:val="00F143C7"/>
    <w:rsid w:val="00F3257F"/>
    <w:rsid w:val="00F36679"/>
    <w:rsid w:val="00F4753D"/>
    <w:rsid w:val="00F54DF5"/>
    <w:rsid w:val="00F57823"/>
    <w:rsid w:val="00F71512"/>
    <w:rsid w:val="00F77935"/>
    <w:rsid w:val="00F81323"/>
    <w:rsid w:val="00FA491D"/>
    <w:rsid w:val="00FC4854"/>
    <w:rsid w:val="00FF1752"/>
    <w:rsid w:val="010D1F9A"/>
    <w:rsid w:val="010F065D"/>
    <w:rsid w:val="0115444E"/>
    <w:rsid w:val="01223985"/>
    <w:rsid w:val="01422AFE"/>
    <w:rsid w:val="01424EDF"/>
    <w:rsid w:val="01471A2D"/>
    <w:rsid w:val="01480316"/>
    <w:rsid w:val="01600883"/>
    <w:rsid w:val="01620AF7"/>
    <w:rsid w:val="016E7178"/>
    <w:rsid w:val="01716304"/>
    <w:rsid w:val="01737DEB"/>
    <w:rsid w:val="01824340"/>
    <w:rsid w:val="018567D4"/>
    <w:rsid w:val="0190758F"/>
    <w:rsid w:val="019A5521"/>
    <w:rsid w:val="01AA67B5"/>
    <w:rsid w:val="01BB4FC9"/>
    <w:rsid w:val="01C24A74"/>
    <w:rsid w:val="01C37FF2"/>
    <w:rsid w:val="01C57263"/>
    <w:rsid w:val="01CD5870"/>
    <w:rsid w:val="01D20A41"/>
    <w:rsid w:val="01DE555E"/>
    <w:rsid w:val="01E12212"/>
    <w:rsid w:val="01E75B2F"/>
    <w:rsid w:val="01EE71A2"/>
    <w:rsid w:val="01EF470B"/>
    <w:rsid w:val="01F62D54"/>
    <w:rsid w:val="01F714B8"/>
    <w:rsid w:val="01FE1FA8"/>
    <w:rsid w:val="020C2473"/>
    <w:rsid w:val="02115FF1"/>
    <w:rsid w:val="021E0094"/>
    <w:rsid w:val="022E7547"/>
    <w:rsid w:val="02395B23"/>
    <w:rsid w:val="02613B39"/>
    <w:rsid w:val="02623809"/>
    <w:rsid w:val="0264308F"/>
    <w:rsid w:val="026B1604"/>
    <w:rsid w:val="027537C1"/>
    <w:rsid w:val="02796367"/>
    <w:rsid w:val="027D7B6A"/>
    <w:rsid w:val="0298221E"/>
    <w:rsid w:val="02AB7EBB"/>
    <w:rsid w:val="02C46BBB"/>
    <w:rsid w:val="02C8219A"/>
    <w:rsid w:val="02DC39B1"/>
    <w:rsid w:val="02F75B0C"/>
    <w:rsid w:val="02F859E5"/>
    <w:rsid w:val="030346D1"/>
    <w:rsid w:val="03077FDE"/>
    <w:rsid w:val="03145F2F"/>
    <w:rsid w:val="03185B97"/>
    <w:rsid w:val="031B54AE"/>
    <w:rsid w:val="031D1422"/>
    <w:rsid w:val="032250AF"/>
    <w:rsid w:val="032D16DF"/>
    <w:rsid w:val="03331014"/>
    <w:rsid w:val="03570AE7"/>
    <w:rsid w:val="03573948"/>
    <w:rsid w:val="0357408F"/>
    <w:rsid w:val="0359257E"/>
    <w:rsid w:val="035A0E9A"/>
    <w:rsid w:val="036D78AE"/>
    <w:rsid w:val="036F19F9"/>
    <w:rsid w:val="03842A87"/>
    <w:rsid w:val="03890EDD"/>
    <w:rsid w:val="038A08ED"/>
    <w:rsid w:val="038E2C46"/>
    <w:rsid w:val="03A95036"/>
    <w:rsid w:val="03CA325A"/>
    <w:rsid w:val="03CD622F"/>
    <w:rsid w:val="03DA2F8E"/>
    <w:rsid w:val="03E0690B"/>
    <w:rsid w:val="03E207E7"/>
    <w:rsid w:val="03E739E7"/>
    <w:rsid w:val="03EA7F52"/>
    <w:rsid w:val="03EC178C"/>
    <w:rsid w:val="03ED3AE4"/>
    <w:rsid w:val="03ED684E"/>
    <w:rsid w:val="03F12798"/>
    <w:rsid w:val="03F56A76"/>
    <w:rsid w:val="03FE0409"/>
    <w:rsid w:val="040A518F"/>
    <w:rsid w:val="04202628"/>
    <w:rsid w:val="042547FC"/>
    <w:rsid w:val="042B276F"/>
    <w:rsid w:val="044607D3"/>
    <w:rsid w:val="044831E6"/>
    <w:rsid w:val="04592361"/>
    <w:rsid w:val="04594939"/>
    <w:rsid w:val="045D6C88"/>
    <w:rsid w:val="0488690D"/>
    <w:rsid w:val="04934B76"/>
    <w:rsid w:val="049A1D3D"/>
    <w:rsid w:val="04A502DE"/>
    <w:rsid w:val="04AC288E"/>
    <w:rsid w:val="04AD557A"/>
    <w:rsid w:val="04B649F3"/>
    <w:rsid w:val="04C5035A"/>
    <w:rsid w:val="04D817AA"/>
    <w:rsid w:val="04DC56D2"/>
    <w:rsid w:val="04DE0961"/>
    <w:rsid w:val="04E92C41"/>
    <w:rsid w:val="04FD0B75"/>
    <w:rsid w:val="050307DB"/>
    <w:rsid w:val="0518715E"/>
    <w:rsid w:val="052C5A65"/>
    <w:rsid w:val="05316CE6"/>
    <w:rsid w:val="0534191F"/>
    <w:rsid w:val="05366867"/>
    <w:rsid w:val="053E6B6C"/>
    <w:rsid w:val="05405558"/>
    <w:rsid w:val="05443744"/>
    <w:rsid w:val="05562D90"/>
    <w:rsid w:val="05575A18"/>
    <w:rsid w:val="055D31A2"/>
    <w:rsid w:val="05722DD6"/>
    <w:rsid w:val="057C1123"/>
    <w:rsid w:val="05855EA0"/>
    <w:rsid w:val="05B30006"/>
    <w:rsid w:val="05BB1B79"/>
    <w:rsid w:val="05BE4542"/>
    <w:rsid w:val="05C90EED"/>
    <w:rsid w:val="05DB3C7F"/>
    <w:rsid w:val="05E11FAA"/>
    <w:rsid w:val="05E749F1"/>
    <w:rsid w:val="05EF710F"/>
    <w:rsid w:val="05EF7B3B"/>
    <w:rsid w:val="05F11543"/>
    <w:rsid w:val="06064E33"/>
    <w:rsid w:val="06123B51"/>
    <w:rsid w:val="061262AA"/>
    <w:rsid w:val="061269F6"/>
    <w:rsid w:val="061E4B73"/>
    <w:rsid w:val="062206E3"/>
    <w:rsid w:val="062A1693"/>
    <w:rsid w:val="063A5A43"/>
    <w:rsid w:val="063E2386"/>
    <w:rsid w:val="06617F9F"/>
    <w:rsid w:val="0671052B"/>
    <w:rsid w:val="06716762"/>
    <w:rsid w:val="067B5226"/>
    <w:rsid w:val="06823FB2"/>
    <w:rsid w:val="06A25504"/>
    <w:rsid w:val="06B12543"/>
    <w:rsid w:val="06B26C11"/>
    <w:rsid w:val="06B873CD"/>
    <w:rsid w:val="06BA4F16"/>
    <w:rsid w:val="06BB269F"/>
    <w:rsid w:val="06C05507"/>
    <w:rsid w:val="06C5190F"/>
    <w:rsid w:val="06C7082C"/>
    <w:rsid w:val="06CA532C"/>
    <w:rsid w:val="06CD23C2"/>
    <w:rsid w:val="06D30E4F"/>
    <w:rsid w:val="06D843D9"/>
    <w:rsid w:val="06E8628D"/>
    <w:rsid w:val="06F26A45"/>
    <w:rsid w:val="06FA10F4"/>
    <w:rsid w:val="06FD3623"/>
    <w:rsid w:val="0701084D"/>
    <w:rsid w:val="070503CB"/>
    <w:rsid w:val="0710781B"/>
    <w:rsid w:val="07175166"/>
    <w:rsid w:val="071A0C3E"/>
    <w:rsid w:val="072157B6"/>
    <w:rsid w:val="07282D1D"/>
    <w:rsid w:val="07287526"/>
    <w:rsid w:val="072D5ADF"/>
    <w:rsid w:val="072E0662"/>
    <w:rsid w:val="073C20CF"/>
    <w:rsid w:val="0745152C"/>
    <w:rsid w:val="077F42E4"/>
    <w:rsid w:val="0784097A"/>
    <w:rsid w:val="07993E1A"/>
    <w:rsid w:val="07B0057C"/>
    <w:rsid w:val="07BF6A3A"/>
    <w:rsid w:val="07C472E8"/>
    <w:rsid w:val="07DD147B"/>
    <w:rsid w:val="07E435AE"/>
    <w:rsid w:val="07F06618"/>
    <w:rsid w:val="07F35CF0"/>
    <w:rsid w:val="0802539F"/>
    <w:rsid w:val="080A192A"/>
    <w:rsid w:val="08137D06"/>
    <w:rsid w:val="081D1326"/>
    <w:rsid w:val="08363D30"/>
    <w:rsid w:val="083B54DB"/>
    <w:rsid w:val="083F081B"/>
    <w:rsid w:val="083F58AA"/>
    <w:rsid w:val="084505EB"/>
    <w:rsid w:val="084F6A19"/>
    <w:rsid w:val="08553FAF"/>
    <w:rsid w:val="08577B16"/>
    <w:rsid w:val="085B38F7"/>
    <w:rsid w:val="085C1431"/>
    <w:rsid w:val="085D2961"/>
    <w:rsid w:val="08643358"/>
    <w:rsid w:val="086C77BD"/>
    <w:rsid w:val="08771645"/>
    <w:rsid w:val="087C675F"/>
    <w:rsid w:val="08814EB3"/>
    <w:rsid w:val="08AC65A7"/>
    <w:rsid w:val="08AE1B9C"/>
    <w:rsid w:val="08B44E5F"/>
    <w:rsid w:val="08B95B4F"/>
    <w:rsid w:val="08BB6EBF"/>
    <w:rsid w:val="08DD5DDE"/>
    <w:rsid w:val="08DF16E6"/>
    <w:rsid w:val="08E308C4"/>
    <w:rsid w:val="08F33E45"/>
    <w:rsid w:val="09013FC5"/>
    <w:rsid w:val="090804FB"/>
    <w:rsid w:val="090D72D4"/>
    <w:rsid w:val="09131787"/>
    <w:rsid w:val="09184E81"/>
    <w:rsid w:val="092A7639"/>
    <w:rsid w:val="0944416F"/>
    <w:rsid w:val="09494CA2"/>
    <w:rsid w:val="094D3867"/>
    <w:rsid w:val="09524AFB"/>
    <w:rsid w:val="095A3D1B"/>
    <w:rsid w:val="095F12A4"/>
    <w:rsid w:val="096A60AC"/>
    <w:rsid w:val="09736460"/>
    <w:rsid w:val="09737B02"/>
    <w:rsid w:val="097B0335"/>
    <w:rsid w:val="098856F5"/>
    <w:rsid w:val="09896EA4"/>
    <w:rsid w:val="098D5DA2"/>
    <w:rsid w:val="09AB042F"/>
    <w:rsid w:val="09B25BB4"/>
    <w:rsid w:val="09C46743"/>
    <w:rsid w:val="09C521E1"/>
    <w:rsid w:val="09CD7912"/>
    <w:rsid w:val="09CF5104"/>
    <w:rsid w:val="09F74908"/>
    <w:rsid w:val="09F767BD"/>
    <w:rsid w:val="09F77C5A"/>
    <w:rsid w:val="09F952DA"/>
    <w:rsid w:val="0A051DA6"/>
    <w:rsid w:val="0A077657"/>
    <w:rsid w:val="0A180DAE"/>
    <w:rsid w:val="0A281E12"/>
    <w:rsid w:val="0A285FBF"/>
    <w:rsid w:val="0A4A6E0F"/>
    <w:rsid w:val="0A51530A"/>
    <w:rsid w:val="0A5522B6"/>
    <w:rsid w:val="0A62196A"/>
    <w:rsid w:val="0A641A7D"/>
    <w:rsid w:val="0A684602"/>
    <w:rsid w:val="0A6D34CB"/>
    <w:rsid w:val="0A7868F6"/>
    <w:rsid w:val="0A7B768A"/>
    <w:rsid w:val="0A8A1B56"/>
    <w:rsid w:val="0A991360"/>
    <w:rsid w:val="0AB238A3"/>
    <w:rsid w:val="0AB92BC6"/>
    <w:rsid w:val="0ABE0373"/>
    <w:rsid w:val="0ADA4B92"/>
    <w:rsid w:val="0ADD10D1"/>
    <w:rsid w:val="0ADE2FCB"/>
    <w:rsid w:val="0AE86915"/>
    <w:rsid w:val="0AEA3E38"/>
    <w:rsid w:val="0AFC7268"/>
    <w:rsid w:val="0B140D20"/>
    <w:rsid w:val="0B163761"/>
    <w:rsid w:val="0B284F5E"/>
    <w:rsid w:val="0B367D11"/>
    <w:rsid w:val="0B455663"/>
    <w:rsid w:val="0B4E42EB"/>
    <w:rsid w:val="0B56404F"/>
    <w:rsid w:val="0B5B52C5"/>
    <w:rsid w:val="0B6865C2"/>
    <w:rsid w:val="0B696F0E"/>
    <w:rsid w:val="0B6A0BD1"/>
    <w:rsid w:val="0B6A1FC4"/>
    <w:rsid w:val="0B7F4832"/>
    <w:rsid w:val="0B926D46"/>
    <w:rsid w:val="0BA74A85"/>
    <w:rsid w:val="0BBD5B8C"/>
    <w:rsid w:val="0BE4166B"/>
    <w:rsid w:val="0C027243"/>
    <w:rsid w:val="0C0F04BA"/>
    <w:rsid w:val="0C1458CE"/>
    <w:rsid w:val="0C176B9F"/>
    <w:rsid w:val="0C215E83"/>
    <w:rsid w:val="0C2B75C3"/>
    <w:rsid w:val="0C2E4588"/>
    <w:rsid w:val="0C38430B"/>
    <w:rsid w:val="0C384B36"/>
    <w:rsid w:val="0C47210D"/>
    <w:rsid w:val="0C4D1F30"/>
    <w:rsid w:val="0C5742ED"/>
    <w:rsid w:val="0C5B0EE3"/>
    <w:rsid w:val="0C607467"/>
    <w:rsid w:val="0C663F10"/>
    <w:rsid w:val="0C8236BC"/>
    <w:rsid w:val="0C870F57"/>
    <w:rsid w:val="0C874535"/>
    <w:rsid w:val="0C9523FB"/>
    <w:rsid w:val="0CA74A52"/>
    <w:rsid w:val="0CA956EA"/>
    <w:rsid w:val="0CAB3687"/>
    <w:rsid w:val="0CAD15D9"/>
    <w:rsid w:val="0CAF28E8"/>
    <w:rsid w:val="0CBD1853"/>
    <w:rsid w:val="0CC128F4"/>
    <w:rsid w:val="0CC414FA"/>
    <w:rsid w:val="0CCB5335"/>
    <w:rsid w:val="0CD300CE"/>
    <w:rsid w:val="0CD61E31"/>
    <w:rsid w:val="0CE003FE"/>
    <w:rsid w:val="0CF45967"/>
    <w:rsid w:val="0CF83264"/>
    <w:rsid w:val="0CFC3784"/>
    <w:rsid w:val="0CFF3D52"/>
    <w:rsid w:val="0D0803F3"/>
    <w:rsid w:val="0D0D4CC5"/>
    <w:rsid w:val="0D135322"/>
    <w:rsid w:val="0D271C78"/>
    <w:rsid w:val="0D5A48BD"/>
    <w:rsid w:val="0D6A23B2"/>
    <w:rsid w:val="0D6A3E94"/>
    <w:rsid w:val="0D6F6CCD"/>
    <w:rsid w:val="0D734994"/>
    <w:rsid w:val="0D755B36"/>
    <w:rsid w:val="0D912FA0"/>
    <w:rsid w:val="0D9166BE"/>
    <w:rsid w:val="0D963DFF"/>
    <w:rsid w:val="0D996017"/>
    <w:rsid w:val="0D9B73F0"/>
    <w:rsid w:val="0DA54526"/>
    <w:rsid w:val="0DAB029F"/>
    <w:rsid w:val="0DB625DA"/>
    <w:rsid w:val="0DC40EE0"/>
    <w:rsid w:val="0DD96A57"/>
    <w:rsid w:val="0DE242B6"/>
    <w:rsid w:val="0DF33B31"/>
    <w:rsid w:val="0E1121E1"/>
    <w:rsid w:val="0E23003E"/>
    <w:rsid w:val="0E2464FA"/>
    <w:rsid w:val="0E2C469B"/>
    <w:rsid w:val="0E4114C3"/>
    <w:rsid w:val="0E471A2D"/>
    <w:rsid w:val="0E5F0043"/>
    <w:rsid w:val="0E7C6043"/>
    <w:rsid w:val="0E865EBA"/>
    <w:rsid w:val="0E891981"/>
    <w:rsid w:val="0E8A2AE1"/>
    <w:rsid w:val="0EB2158A"/>
    <w:rsid w:val="0EB75007"/>
    <w:rsid w:val="0EBA1120"/>
    <w:rsid w:val="0EBC4E61"/>
    <w:rsid w:val="0EBD0AEE"/>
    <w:rsid w:val="0EDC2119"/>
    <w:rsid w:val="0F0E3A7E"/>
    <w:rsid w:val="0F20501A"/>
    <w:rsid w:val="0F2D44E0"/>
    <w:rsid w:val="0F34320C"/>
    <w:rsid w:val="0F3D2BBF"/>
    <w:rsid w:val="0F3D615F"/>
    <w:rsid w:val="0F791C11"/>
    <w:rsid w:val="0F81392D"/>
    <w:rsid w:val="0F8421A2"/>
    <w:rsid w:val="0F8C1ED9"/>
    <w:rsid w:val="0F9732B4"/>
    <w:rsid w:val="0FAB5A7B"/>
    <w:rsid w:val="0FB17917"/>
    <w:rsid w:val="0FC340E1"/>
    <w:rsid w:val="0FCC28B4"/>
    <w:rsid w:val="0FD024BD"/>
    <w:rsid w:val="0FF53ED6"/>
    <w:rsid w:val="100A62D0"/>
    <w:rsid w:val="100B7416"/>
    <w:rsid w:val="101753DF"/>
    <w:rsid w:val="10290A6B"/>
    <w:rsid w:val="102B08BE"/>
    <w:rsid w:val="103007D7"/>
    <w:rsid w:val="103B7C9F"/>
    <w:rsid w:val="103C7DC7"/>
    <w:rsid w:val="103D7E34"/>
    <w:rsid w:val="104230C2"/>
    <w:rsid w:val="10440B78"/>
    <w:rsid w:val="105038FE"/>
    <w:rsid w:val="10556138"/>
    <w:rsid w:val="10586430"/>
    <w:rsid w:val="105E728C"/>
    <w:rsid w:val="106637E3"/>
    <w:rsid w:val="10741051"/>
    <w:rsid w:val="10831E0B"/>
    <w:rsid w:val="1098785D"/>
    <w:rsid w:val="10A94C7D"/>
    <w:rsid w:val="10B45CDB"/>
    <w:rsid w:val="10B8113C"/>
    <w:rsid w:val="10BB2C36"/>
    <w:rsid w:val="10C80ADE"/>
    <w:rsid w:val="10DA2AA2"/>
    <w:rsid w:val="10DE4424"/>
    <w:rsid w:val="10EB52B0"/>
    <w:rsid w:val="10EE5877"/>
    <w:rsid w:val="10F466B8"/>
    <w:rsid w:val="10F51159"/>
    <w:rsid w:val="10F91184"/>
    <w:rsid w:val="10FF1E2E"/>
    <w:rsid w:val="110017BC"/>
    <w:rsid w:val="11011B2A"/>
    <w:rsid w:val="1111392B"/>
    <w:rsid w:val="1118642B"/>
    <w:rsid w:val="112E308F"/>
    <w:rsid w:val="114B03C0"/>
    <w:rsid w:val="1152384B"/>
    <w:rsid w:val="115A7C3C"/>
    <w:rsid w:val="115F7EFA"/>
    <w:rsid w:val="1170355A"/>
    <w:rsid w:val="117C399C"/>
    <w:rsid w:val="118011BB"/>
    <w:rsid w:val="11824B92"/>
    <w:rsid w:val="1189545B"/>
    <w:rsid w:val="118C351E"/>
    <w:rsid w:val="11A23756"/>
    <w:rsid w:val="11AF4E8C"/>
    <w:rsid w:val="11B84D91"/>
    <w:rsid w:val="11BE1927"/>
    <w:rsid w:val="11C73808"/>
    <w:rsid w:val="11C864FB"/>
    <w:rsid w:val="11C904DD"/>
    <w:rsid w:val="11CD3B2C"/>
    <w:rsid w:val="11D45492"/>
    <w:rsid w:val="11E6479C"/>
    <w:rsid w:val="11EA55CC"/>
    <w:rsid w:val="12127643"/>
    <w:rsid w:val="121379E9"/>
    <w:rsid w:val="122803E3"/>
    <w:rsid w:val="122F0509"/>
    <w:rsid w:val="12413868"/>
    <w:rsid w:val="12513A7D"/>
    <w:rsid w:val="12534099"/>
    <w:rsid w:val="125B06A1"/>
    <w:rsid w:val="12653653"/>
    <w:rsid w:val="126904ED"/>
    <w:rsid w:val="127A486F"/>
    <w:rsid w:val="12802AD4"/>
    <w:rsid w:val="128130DB"/>
    <w:rsid w:val="12875979"/>
    <w:rsid w:val="129448B8"/>
    <w:rsid w:val="129A6271"/>
    <w:rsid w:val="129B766D"/>
    <w:rsid w:val="129C2D9D"/>
    <w:rsid w:val="12A424E3"/>
    <w:rsid w:val="12A62E75"/>
    <w:rsid w:val="12A93CC5"/>
    <w:rsid w:val="12AF0206"/>
    <w:rsid w:val="12B153E0"/>
    <w:rsid w:val="12BE7183"/>
    <w:rsid w:val="12BF5CCE"/>
    <w:rsid w:val="12C331D3"/>
    <w:rsid w:val="12C52098"/>
    <w:rsid w:val="12C67ADD"/>
    <w:rsid w:val="12CD3D5D"/>
    <w:rsid w:val="12D00715"/>
    <w:rsid w:val="12D50BCD"/>
    <w:rsid w:val="12DA0D46"/>
    <w:rsid w:val="12DF6F2B"/>
    <w:rsid w:val="12E33703"/>
    <w:rsid w:val="12EC3A89"/>
    <w:rsid w:val="12EF420A"/>
    <w:rsid w:val="12F126AA"/>
    <w:rsid w:val="12F263FB"/>
    <w:rsid w:val="12F4792D"/>
    <w:rsid w:val="12F62F56"/>
    <w:rsid w:val="13004FDF"/>
    <w:rsid w:val="13077E0E"/>
    <w:rsid w:val="13097872"/>
    <w:rsid w:val="13137F8D"/>
    <w:rsid w:val="13145A41"/>
    <w:rsid w:val="13186CBC"/>
    <w:rsid w:val="132215E8"/>
    <w:rsid w:val="13234EB1"/>
    <w:rsid w:val="13285098"/>
    <w:rsid w:val="13296AAE"/>
    <w:rsid w:val="132A1328"/>
    <w:rsid w:val="13367DDC"/>
    <w:rsid w:val="13387B4F"/>
    <w:rsid w:val="133C0B38"/>
    <w:rsid w:val="133F2B4D"/>
    <w:rsid w:val="13423FCA"/>
    <w:rsid w:val="134807DA"/>
    <w:rsid w:val="134B6C5A"/>
    <w:rsid w:val="13673206"/>
    <w:rsid w:val="136867F9"/>
    <w:rsid w:val="136F17BC"/>
    <w:rsid w:val="137F01F5"/>
    <w:rsid w:val="138E2184"/>
    <w:rsid w:val="1393736A"/>
    <w:rsid w:val="13A07032"/>
    <w:rsid w:val="13AC205C"/>
    <w:rsid w:val="13B15545"/>
    <w:rsid w:val="13C27E44"/>
    <w:rsid w:val="13C9252A"/>
    <w:rsid w:val="13D03657"/>
    <w:rsid w:val="13D22FE6"/>
    <w:rsid w:val="13E57F19"/>
    <w:rsid w:val="13F05B89"/>
    <w:rsid w:val="13F602B3"/>
    <w:rsid w:val="14081D0A"/>
    <w:rsid w:val="140C7446"/>
    <w:rsid w:val="141B5303"/>
    <w:rsid w:val="141D46DE"/>
    <w:rsid w:val="1428318B"/>
    <w:rsid w:val="14372838"/>
    <w:rsid w:val="143D5AE3"/>
    <w:rsid w:val="14405C65"/>
    <w:rsid w:val="14465B4D"/>
    <w:rsid w:val="14496CD7"/>
    <w:rsid w:val="14566AC0"/>
    <w:rsid w:val="14597C54"/>
    <w:rsid w:val="145D7406"/>
    <w:rsid w:val="1467639B"/>
    <w:rsid w:val="14695491"/>
    <w:rsid w:val="14755F0F"/>
    <w:rsid w:val="147D48AE"/>
    <w:rsid w:val="147F706A"/>
    <w:rsid w:val="149B2662"/>
    <w:rsid w:val="14A21AA6"/>
    <w:rsid w:val="14AC0308"/>
    <w:rsid w:val="14DA576A"/>
    <w:rsid w:val="14E0080A"/>
    <w:rsid w:val="14E24A8E"/>
    <w:rsid w:val="14E50320"/>
    <w:rsid w:val="14EE79B5"/>
    <w:rsid w:val="14FA750A"/>
    <w:rsid w:val="15067203"/>
    <w:rsid w:val="150E1324"/>
    <w:rsid w:val="15150D7A"/>
    <w:rsid w:val="151660B6"/>
    <w:rsid w:val="15201546"/>
    <w:rsid w:val="15291F67"/>
    <w:rsid w:val="15381AAC"/>
    <w:rsid w:val="1548489C"/>
    <w:rsid w:val="155335F0"/>
    <w:rsid w:val="155B3064"/>
    <w:rsid w:val="156003EA"/>
    <w:rsid w:val="15606495"/>
    <w:rsid w:val="1562025F"/>
    <w:rsid w:val="156C4E0A"/>
    <w:rsid w:val="15766C5E"/>
    <w:rsid w:val="157945CE"/>
    <w:rsid w:val="157F28AE"/>
    <w:rsid w:val="158261BF"/>
    <w:rsid w:val="1589165D"/>
    <w:rsid w:val="158F24B5"/>
    <w:rsid w:val="159269EB"/>
    <w:rsid w:val="15942248"/>
    <w:rsid w:val="15A53F3F"/>
    <w:rsid w:val="15B255A4"/>
    <w:rsid w:val="15B33F60"/>
    <w:rsid w:val="15B35A28"/>
    <w:rsid w:val="15BD6C0F"/>
    <w:rsid w:val="15C036B9"/>
    <w:rsid w:val="15E16C1A"/>
    <w:rsid w:val="15EA483B"/>
    <w:rsid w:val="15F122F1"/>
    <w:rsid w:val="15F87A8A"/>
    <w:rsid w:val="15FA1116"/>
    <w:rsid w:val="16005E38"/>
    <w:rsid w:val="160C1E80"/>
    <w:rsid w:val="160D2F6C"/>
    <w:rsid w:val="161132CB"/>
    <w:rsid w:val="16125087"/>
    <w:rsid w:val="1613776C"/>
    <w:rsid w:val="161D2991"/>
    <w:rsid w:val="162A4170"/>
    <w:rsid w:val="1631783B"/>
    <w:rsid w:val="163D5260"/>
    <w:rsid w:val="16470D3F"/>
    <w:rsid w:val="164F02A4"/>
    <w:rsid w:val="16547417"/>
    <w:rsid w:val="16686628"/>
    <w:rsid w:val="1674572C"/>
    <w:rsid w:val="168416FC"/>
    <w:rsid w:val="169070B5"/>
    <w:rsid w:val="169479E9"/>
    <w:rsid w:val="16A044D6"/>
    <w:rsid w:val="16A45C80"/>
    <w:rsid w:val="16A964D9"/>
    <w:rsid w:val="16B520A8"/>
    <w:rsid w:val="16C86291"/>
    <w:rsid w:val="16C94EE0"/>
    <w:rsid w:val="16DC67F9"/>
    <w:rsid w:val="16DD32C6"/>
    <w:rsid w:val="16E366FA"/>
    <w:rsid w:val="16EC05AE"/>
    <w:rsid w:val="16F20C17"/>
    <w:rsid w:val="16FE423D"/>
    <w:rsid w:val="17222458"/>
    <w:rsid w:val="17233BD6"/>
    <w:rsid w:val="17356015"/>
    <w:rsid w:val="17387E97"/>
    <w:rsid w:val="173A4EA4"/>
    <w:rsid w:val="173E762C"/>
    <w:rsid w:val="17493AE8"/>
    <w:rsid w:val="174A4407"/>
    <w:rsid w:val="174E14EC"/>
    <w:rsid w:val="174E2FC9"/>
    <w:rsid w:val="17663672"/>
    <w:rsid w:val="176A1FE4"/>
    <w:rsid w:val="176A43B0"/>
    <w:rsid w:val="17985248"/>
    <w:rsid w:val="179B32B2"/>
    <w:rsid w:val="17A10987"/>
    <w:rsid w:val="17A17958"/>
    <w:rsid w:val="17A40B95"/>
    <w:rsid w:val="17A47C1E"/>
    <w:rsid w:val="17AA356F"/>
    <w:rsid w:val="17BD5B46"/>
    <w:rsid w:val="17C863DC"/>
    <w:rsid w:val="17D21F2F"/>
    <w:rsid w:val="17E01BEB"/>
    <w:rsid w:val="17E0790C"/>
    <w:rsid w:val="17E13A50"/>
    <w:rsid w:val="17E54518"/>
    <w:rsid w:val="17ED1653"/>
    <w:rsid w:val="17F82A43"/>
    <w:rsid w:val="18066634"/>
    <w:rsid w:val="180B2F48"/>
    <w:rsid w:val="180B79E2"/>
    <w:rsid w:val="181D2695"/>
    <w:rsid w:val="182457AE"/>
    <w:rsid w:val="18285AEA"/>
    <w:rsid w:val="183233F9"/>
    <w:rsid w:val="18434C6B"/>
    <w:rsid w:val="184E1890"/>
    <w:rsid w:val="18591C7E"/>
    <w:rsid w:val="18630CBF"/>
    <w:rsid w:val="18657BE0"/>
    <w:rsid w:val="186A6FAA"/>
    <w:rsid w:val="18712D62"/>
    <w:rsid w:val="188079F5"/>
    <w:rsid w:val="18827ACE"/>
    <w:rsid w:val="188517FE"/>
    <w:rsid w:val="188B0175"/>
    <w:rsid w:val="189D735F"/>
    <w:rsid w:val="18A47F54"/>
    <w:rsid w:val="18B310E1"/>
    <w:rsid w:val="18B5437D"/>
    <w:rsid w:val="18BB773A"/>
    <w:rsid w:val="18C30ED7"/>
    <w:rsid w:val="18C66E19"/>
    <w:rsid w:val="18D20212"/>
    <w:rsid w:val="18EA5342"/>
    <w:rsid w:val="18F51093"/>
    <w:rsid w:val="18FA53B4"/>
    <w:rsid w:val="19016B36"/>
    <w:rsid w:val="19112997"/>
    <w:rsid w:val="191829C4"/>
    <w:rsid w:val="191A351C"/>
    <w:rsid w:val="19202865"/>
    <w:rsid w:val="19244A87"/>
    <w:rsid w:val="19330037"/>
    <w:rsid w:val="193A5E7F"/>
    <w:rsid w:val="19421680"/>
    <w:rsid w:val="195A3EC5"/>
    <w:rsid w:val="19620B86"/>
    <w:rsid w:val="19987566"/>
    <w:rsid w:val="19AC2F78"/>
    <w:rsid w:val="19AE3C88"/>
    <w:rsid w:val="19B25C2E"/>
    <w:rsid w:val="19C23C93"/>
    <w:rsid w:val="19CA13C8"/>
    <w:rsid w:val="19E1246D"/>
    <w:rsid w:val="19E16A4A"/>
    <w:rsid w:val="19E77B11"/>
    <w:rsid w:val="19EF1DB9"/>
    <w:rsid w:val="19FB7F7C"/>
    <w:rsid w:val="1A345E75"/>
    <w:rsid w:val="1A3A6A32"/>
    <w:rsid w:val="1A4776A6"/>
    <w:rsid w:val="1A49614A"/>
    <w:rsid w:val="1A6B06A5"/>
    <w:rsid w:val="1A6D71A6"/>
    <w:rsid w:val="1A9A29EE"/>
    <w:rsid w:val="1A9D68EF"/>
    <w:rsid w:val="1A9E5823"/>
    <w:rsid w:val="1AA14AC0"/>
    <w:rsid w:val="1AB5051C"/>
    <w:rsid w:val="1ABD5642"/>
    <w:rsid w:val="1ABE613C"/>
    <w:rsid w:val="1AD00C6C"/>
    <w:rsid w:val="1AD91F41"/>
    <w:rsid w:val="1AEC2C1D"/>
    <w:rsid w:val="1AFA6089"/>
    <w:rsid w:val="1B011488"/>
    <w:rsid w:val="1B0D335C"/>
    <w:rsid w:val="1B0F0BDF"/>
    <w:rsid w:val="1B142D1E"/>
    <w:rsid w:val="1B23466F"/>
    <w:rsid w:val="1B254833"/>
    <w:rsid w:val="1B254DF7"/>
    <w:rsid w:val="1B28455F"/>
    <w:rsid w:val="1B2C46A3"/>
    <w:rsid w:val="1B2F11F3"/>
    <w:rsid w:val="1B3E6C96"/>
    <w:rsid w:val="1B506340"/>
    <w:rsid w:val="1B5651B1"/>
    <w:rsid w:val="1B644600"/>
    <w:rsid w:val="1B672668"/>
    <w:rsid w:val="1B675EE0"/>
    <w:rsid w:val="1B69374D"/>
    <w:rsid w:val="1B704241"/>
    <w:rsid w:val="1B733A0E"/>
    <w:rsid w:val="1B7A7DDB"/>
    <w:rsid w:val="1B8D62CA"/>
    <w:rsid w:val="1B954D2F"/>
    <w:rsid w:val="1BC04698"/>
    <w:rsid w:val="1BC17A6D"/>
    <w:rsid w:val="1BC52D45"/>
    <w:rsid w:val="1BDF37A9"/>
    <w:rsid w:val="1BE30CC4"/>
    <w:rsid w:val="1BE83E11"/>
    <w:rsid w:val="1BEC0044"/>
    <w:rsid w:val="1C0A278E"/>
    <w:rsid w:val="1C0B0D94"/>
    <w:rsid w:val="1C190161"/>
    <w:rsid w:val="1C190174"/>
    <w:rsid w:val="1C2A1234"/>
    <w:rsid w:val="1C2F45EE"/>
    <w:rsid w:val="1C391FB9"/>
    <w:rsid w:val="1C3951B5"/>
    <w:rsid w:val="1C3B5BB5"/>
    <w:rsid w:val="1C4263B1"/>
    <w:rsid w:val="1C51381F"/>
    <w:rsid w:val="1C647329"/>
    <w:rsid w:val="1C675259"/>
    <w:rsid w:val="1C682B53"/>
    <w:rsid w:val="1C683828"/>
    <w:rsid w:val="1C687373"/>
    <w:rsid w:val="1C6C44FE"/>
    <w:rsid w:val="1C75652A"/>
    <w:rsid w:val="1C777CB4"/>
    <w:rsid w:val="1C7878AF"/>
    <w:rsid w:val="1C8122CB"/>
    <w:rsid w:val="1C8142B6"/>
    <w:rsid w:val="1C854FA2"/>
    <w:rsid w:val="1C86186D"/>
    <w:rsid w:val="1C8C2275"/>
    <w:rsid w:val="1C9241D5"/>
    <w:rsid w:val="1CA51A69"/>
    <w:rsid w:val="1CB506D1"/>
    <w:rsid w:val="1CB90752"/>
    <w:rsid w:val="1CBA6504"/>
    <w:rsid w:val="1CC515C3"/>
    <w:rsid w:val="1CD96F18"/>
    <w:rsid w:val="1CE17E18"/>
    <w:rsid w:val="1CF82287"/>
    <w:rsid w:val="1D186977"/>
    <w:rsid w:val="1D251D2A"/>
    <w:rsid w:val="1D303C64"/>
    <w:rsid w:val="1D315CD5"/>
    <w:rsid w:val="1D3C18C7"/>
    <w:rsid w:val="1D3D17F8"/>
    <w:rsid w:val="1D672E74"/>
    <w:rsid w:val="1D6D5706"/>
    <w:rsid w:val="1D777CE4"/>
    <w:rsid w:val="1D906F7F"/>
    <w:rsid w:val="1D926555"/>
    <w:rsid w:val="1D99489D"/>
    <w:rsid w:val="1DAD5199"/>
    <w:rsid w:val="1DB766B4"/>
    <w:rsid w:val="1DC313BC"/>
    <w:rsid w:val="1DD30C89"/>
    <w:rsid w:val="1DD338D7"/>
    <w:rsid w:val="1DD81628"/>
    <w:rsid w:val="1DF35E34"/>
    <w:rsid w:val="1E03327C"/>
    <w:rsid w:val="1E0B53D6"/>
    <w:rsid w:val="1E0C6C20"/>
    <w:rsid w:val="1E0E3987"/>
    <w:rsid w:val="1E166BB5"/>
    <w:rsid w:val="1E166D3C"/>
    <w:rsid w:val="1E252487"/>
    <w:rsid w:val="1E3B7BAD"/>
    <w:rsid w:val="1E455BBA"/>
    <w:rsid w:val="1E497BF0"/>
    <w:rsid w:val="1E522B4D"/>
    <w:rsid w:val="1E5D132C"/>
    <w:rsid w:val="1E5E0810"/>
    <w:rsid w:val="1E634BB6"/>
    <w:rsid w:val="1E6B7F2F"/>
    <w:rsid w:val="1E6C2252"/>
    <w:rsid w:val="1E6C629D"/>
    <w:rsid w:val="1E6E2994"/>
    <w:rsid w:val="1E8F3EAF"/>
    <w:rsid w:val="1E98316D"/>
    <w:rsid w:val="1E9D7FB4"/>
    <w:rsid w:val="1EAA4A0C"/>
    <w:rsid w:val="1EAD43AC"/>
    <w:rsid w:val="1EAD5726"/>
    <w:rsid w:val="1EB44056"/>
    <w:rsid w:val="1EB4460B"/>
    <w:rsid w:val="1ED03672"/>
    <w:rsid w:val="1F1A3272"/>
    <w:rsid w:val="1F336940"/>
    <w:rsid w:val="1F375F05"/>
    <w:rsid w:val="1F39157D"/>
    <w:rsid w:val="1F48550F"/>
    <w:rsid w:val="1F4A2CFA"/>
    <w:rsid w:val="1F58428E"/>
    <w:rsid w:val="1F5A28A2"/>
    <w:rsid w:val="1F680987"/>
    <w:rsid w:val="1F73584C"/>
    <w:rsid w:val="1F746A88"/>
    <w:rsid w:val="1F77247F"/>
    <w:rsid w:val="1F881217"/>
    <w:rsid w:val="1F9B0D7C"/>
    <w:rsid w:val="1FA0206A"/>
    <w:rsid w:val="1FBD4BAF"/>
    <w:rsid w:val="1FC03C0F"/>
    <w:rsid w:val="1FE41D57"/>
    <w:rsid w:val="1FFC7BA1"/>
    <w:rsid w:val="1FFE3AD7"/>
    <w:rsid w:val="20094060"/>
    <w:rsid w:val="200A4022"/>
    <w:rsid w:val="201163B3"/>
    <w:rsid w:val="201F11DF"/>
    <w:rsid w:val="202059BE"/>
    <w:rsid w:val="20205DAC"/>
    <w:rsid w:val="20224F52"/>
    <w:rsid w:val="202C3340"/>
    <w:rsid w:val="20302E0A"/>
    <w:rsid w:val="20323850"/>
    <w:rsid w:val="20324A0D"/>
    <w:rsid w:val="2032551A"/>
    <w:rsid w:val="2037312D"/>
    <w:rsid w:val="203C4D2B"/>
    <w:rsid w:val="204073C5"/>
    <w:rsid w:val="2044076D"/>
    <w:rsid w:val="204D3FF3"/>
    <w:rsid w:val="204E7EE0"/>
    <w:rsid w:val="20541062"/>
    <w:rsid w:val="20711D5C"/>
    <w:rsid w:val="20823E7B"/>
    <w:rsid w:val="208777B3"/>
    <w:rsid w:val="20912BD2"/>
    <w:rsid w:val="20941FE4"/>
    <w:rsid w:val="2097727C"/>
    <w:rsid w:val="20A01225"/>
    <w:rsid w:val="20A41D66"/>
    <w:rsid w:val="20D12D36"/>
    <w:rsid w:val="20D52E40"/>
    <w:rsid w:val="20D67906"/>
    <w:rsid w:val="20D754A9"/>
    <w:rsid w:val="20DF4873"/>
    <w:rsid w:val="20F07F13"/>
    <w:rsid w:val="20F15C1D"/>
    <w:rsid w:val="20F43DDD"/>
    <w:rsid w:val="20F51BE7"/>
    <w:rsid w:val="20FE2A71"/>
    <w:rsid w:val="210B3FFE"/>
    <w:rsid w:val="213A3F65"/>
    <w:rsid w:val="214128AA"/>
    <w:rsid w:val="21440029"/>
    <w:rsid w:val="215B6851"/>
    <w:rsid w:val="215B7D00"/>
    <w:rsid w:val="21653A00"/>
    <w:rsid w:val="21670B40"/>
    <w:rsid w:val="21765551"/>
    <w:rsid w:val="217839C0"/>
    <w:rsid w:val="217F5CF4"/>
    <w:rsid w:val="2184059A"/>
    <w:rsid w:val="218547C5"/>
    <w:rsid w:val="21886A40"/>
    <w:rsid w:val="218C70B5"/>
    <w:rsid w:val="21997763"/>
    <w:rsid w:val="21D00EAE"/>
    <w:rsid w:val="21D02BAF"/>
    <w:rsid w:val="21E176CA"/>
    <w:rsid w:val="21F90C3C"/>
    <w:rsid w:val="21FA1485"/>
    <w:rsid w:val="220D6AEA"/>
    <w:rsid w:val="22125C27"/>
    <w:rsid w:val="222D41CD"/>
    <w:rsid w:val="22311060"/>
    <w:rsid w:val="223806E6"/>
    <w:rsid w:val="22407DC4"/>
    <w:rsid w:val="225C163D"/>
    <w:rsid w:val="22651E8D"/>
    <w:rsid w:val="22693B9A"/>
    <w:rsid w:val="227119E4"/>
    <w:rsid w:val="22785015"/>
    <w:rsid w:val="22817C17"/>
    <w:rsid w:val="22863C9E"/>
    <w:rsid w:val="22A21F17"/>
    <w:rsid w:val="22A86ABE"/>
    <w:rsid w:val="22BB445B"/>
    <w:rsid w:val="22C26CE2"/>
    <w:rsid w:val="22CC4675"/>
    <w:rsid w:val="22D20556"/>
    <w:rsid w:val="22DE3114"/>
    <w:rsid w:val="22E404E6"/>
    <w:rsid w:val="22EE6E8F"/>
    <w:rsid w:val="22FA5CE0"/>
    <w:rsid w:val="22FD30BB"/>
    <w:rsid w:val="230D5A10"/>
    <w:rsid w:val="230F5D36"/>
    <w:rsid w:val="231C4414"/>
    <w:rsid w:val="23313AD6"/>
    <w:rsid w:val="23377BCE"/>
    <w:rsid w:val="23483324"/>
    <w:rsid w:val="234969F8"/>
    <w:rsid w:val="23603967"/>
    <w:rsid w:val="23641E2B"/>
    <w:rsid w:val="236D2253"/>
    <w:rsid w:val="238A0543"/>
    <w:rsid w:val="23907133"/>
    <w:rsid w:val="239264B1"/>
    <w:rsid w:val="239343DE"/>
    <w:rsid w:val="23A37609"/>
    <w:rsid w:val="23A9647E"/>
    <w:rsid w:val="23AA3DD5"/>
    <w:rsid w:val="23B60ED1"/>
    <w:rsid w:val="23BE1854"/>
    <w:rsid w:val="23CF28F5"/>
    <w:rsid w:val="23DD03E5"/>
    <w:rsid w:val="23EB302E"/>
    <w:rsid w:val="23F55173"/>
    <w:rsid w:val="24077186"/>
    <w:rsid w:val="240C18EB"/>
    <w:rsid w:val="240D55E9"/>
    <w:rsid w:val="24134E7F"/>
    <w:rsid w:val="24247FD2"/>
    <w:rsid w:val="243F7CBB"/>
    <w:rsid w:val="24423824"/>
    <w:rsid w:val="24481DA8"/>
    <w:rsid w:val="24737D43"/>
    <w:rsid w:val="24794149"/>
    <w:rsid w:val="247B24A0"/>
    <w:rsid w:val="247D2C42"/>
    <w:rsid w:val="24816774"/>
    <w:rsid w:val="24825DBC"/>
    <w:rsid w:val="24832699"/>
    <w:rsid w:val="2486518E"/>
    <w:rsid w:val="248A65FB"/>
    <w:rsid w:val="248B6716"/>
    <w:rsid w:val="249B5C30"/>
    <w:rsid w:val="24A67591"/>
    <w:rsid w:val="24B70CE3"/>
    <w:rsid w:val="24C37196"/>
    <w:rsid w:val="24C81E17"/>
    <w:rsid w:val="24E10F6F"/>
    <w:rsid w:val="250C76C5"/>
    <w:rsid w:val="25194182"/>
    <w:rsid w:val="251B7755"/>
    <w:rsid w:val="25272745"/>
    <w:rsid w:val="25335F61"/>
    <w:rsid w:val="253B64E7"/>
    <w:rsid w:val="254823A0"/>
    <w:rsid w:val="254875A7"/>
    <w:rsid w:val="25507A56"/>
    <w:rsid w:val="2553314B"/>
    <w:rsid w:val="2556486A"/>
    <w:rsid w:val="25646863"/>
    <w:rsid w:val="25694783"/>
    <w:rsid w:val="256F3476"/>
    <w:rsid w:val="25711905"/>
    <w:rsid w:val="25721AD6"/>
    <w:rsid w:val="25827596"/>
    <w:rsid w:val="25827CAA"/>
    <w:rsid w:val="2589771E"/>
    <w:rsid w:val="25923A08"/>
    <w:rsid w:val="25A11B6F"/>
    <w:rsid w:val="25A828D4"/>
    <w:rsid w:val="25AA4A16"/>
    <w:rsid w:val="25BA1ECA"/>
    <w:rsid w:val="25BD04AD"/>
    <w:rsid w:val="25C20B5E"/>
    <w:rsid w:val="25E42074"/>
    <w:rsid w:val="25FF00BC"/>
    <w:rsid w:val="26083B55"/>
    <w:rsid w:val="260B1EF3"/>
    <w:rsid w:val="26131F47"/>
    <w:rsid w:val="26167EC3"/>
    <w:rsid w:val="261F5B6A"/>
    <w:rsid w:val="263477E2"/>
    <w:rsid w:val="26394780"/>
    <w:rsid w:val="263C1447"/>
    <w:rsid w:val="264C3ED2"/>
    <w:rsid w:val="26520572"/>
    <w:rsid w:val="265C2838"/>
    <w:rsid w:val="26681EEE"/>
    <w:rsid w:val="267505BC"/>
    <w:rsid w:val="267C70D5"/>
    <w:rsid w:val="267F2528"/>
    <w:rsid w:val="2689739B"/>
    <w:rsid w:val="268A221A"/>
    <w:rsid w:val="269022DD"/>
    <w:rsid w:val="26930A64"/>
    <w:rsid w:val="269A6E4F"/>
    <w:rsid w:val="26A021B1"/>
    <w:rsid w:val="26A24081"/>
    <w:rsid w:val="26A241C7"/>
    <w:rsid w:val="26A25754"/>
    <w:rsid w:val="26B06FAD"/>
    <w:rsid w:val="26BD59A7"/>
    <w:rsid w:val="26C1241B"/>
    <w:rsid w:val="26C126FF"/>
    <w:rsid w:val="26C32483"/>
    <w:rsid w:val="26C87027"/>
    <w:rsid w:val="26D10264"/>
    <w:rsid w:val="26DA1274"/>
    <w:rsid w:val="26E15ACA"/>
    <w:rsid w:val="26E5600D"/>
    <w:rsid w:val="26F3756D"/>
    <w:rsid w:val="26FE5BD2"/>
    <w:rsid w:val="270E5A22"/>
    <w:rsid w:val="27143ECB"/>
    <w:rsid w:val="27144857"/>
    <w:rsid w:val="272C5DAC"/>
    <w:rsid w:val="27323AE9"/>
    <w:rsid w:val="2732449E"/>
    <w:rsid w:val="27367E4F"/>
    <w:rsid w:val="273952F0"/>
    <w:rsid w:val="274B23FC"/>
    <w:rsid w:val="27543010"/>
    <w:rsid w:val="275A6D3B"/>
    <w:rsid w:val="276632E7"/>
    <w:rsid w:val="27682B8B"/>
    <w:rsid w:val="27732BE6"/>
    <w:rsid w:val="277F5EC3"/>
    <w:rsid w:val="27882217"/>
    <w:rsid w:val="278F39FE"/>
    <w:rsid w:val="279D0B64"/>
    <w:rsid w:val="27A56731"/>
    <w:rsid w:val="27B00133"/>
    <w:rsid w:val="27BC1FF0"/>
    <w:rsid w:val="27C114EF"/>
    <w:rsid w:val="27C843B4"/>
    <w:rsid w:val="27CE6418"/>
    <w:rsid w:val="27D67EEF"/>
    <w:rsid w:val="27E0644B"/>
    <w:rsid w:val="27E339C1"/>
    <w:rsid w:val="27ED327F"/>
    <w:rsid w:val="27ED5AFC"/>
    <w:rsid w:val="27F502E3"/>
    <w:rsid w:val="27FA697C"/>
    <w:rsid w:val="280416F4"/>
    <w:rsid w:val="28206DD3"/>
    <w:rsid w:val="282738A2"/>
    <w:rsid w:val="28282917"/>
    <w:rsid w:val="2828416B"/>
    <w:rsid w:val="28372F78"/>
    <w:rsid w:val="2837411F"/>
    <w:rsid w:val="28385F06"/>
    <w:rsid w:val="2840395D"/>
    <w:rsid w:val="284378CB"/>
    <w:rsid w:val="284B367A"/>
    <w:rsid w:val="284F734E"/>
    <w:rsid w:val="2852685C"/>
    <w:rsid w:val="28767CEB"/>
    <w:rsid w:val="288272BC"/>
    <w:rsid w:val="288616B4"/>
    <w:rsid w:val="28994E82"/>
    <w:rsid w:val="28A21A7E"/>
    <w:rsid w:val="28A97008"/>
    <w:rsid w:val="28AB48B1"/>
    <w:rsid w:val="28C11568"/>
    <w:rsid w:val="28C42FA1"/>
    <w:rsid w:val="28D8101D"/>
    <w:rsid w:val="28E47D87"/>
    <w:rsid w:val="28E7717F"/>
    <w:rsid w:val="28EE10F3"/>
    <w:rsid w:val="28FD721B"/>
    <w:rsid w:val="291A7378"/>
    <w:rsid w:val="291D0BFC"/>
    <w:rsid w:val="29222454"/>
    <w:rsid w:val="29277477"/>
    <w:rsid w:val="293535D4"/>
    <w:rsid w:val="293909EA"/>
    <w:rsid w:val="293A33BC"/>
    <w:rsid w:val="2950153E"/>
    <w:rsid w:val="296B7D96"/>
    <w:rsid w:val="296C6043"/>
    <w:rsid w:val="296D0D8A"/>
    <w:rsid w:val="296D21E6"/>
    <w:rsid w:val="29734537"/>
    <w:rsid w:val="2987281F"/>
    <w:rsid w:val="299C0484"/>
    <w:rsid w:val="29A91B57"/>
    <w:rsid w:val="29AA3F4F"/>
    <w:rsid w:val="29B01F48"/>
    <w:rsid w:val="29B60B12"/>
    <w:rsid w:val="29D2390F"/>
    <w:rsid w:val="29D3757F"/>
    <w:rsid w:val="29DA03D2"/>
    <w:rsid w:val="29E03DC3"/>
    <w:rsid w:val="29E2248D"/>
    <w:rsid w:val="29F46DD8"/>
    <w:rsid w:val="29F5319F"/>
    <w:rsid w:val="2A06498A"/>
    <w:rsid w:val="2A0734DC"/>
    <w:rsid w:val="2A107C19"/>
    <w:rsid w:val="2A124BE4"/>
    <w:rsid w:val="2A226002"/>
    <w:rsid w:val="2A2D02DE"/>
    <w:rsid w:val="2A397962"/>
    <w:rsid w:val="2A4057C6"/>
    <w:rsid w:val="2A5A4600"/>
    <w:rsid w:val="2A5A52D9"/>
    <w:rsid w:val="2A695359"/>
    <w:rsid w:val="2A702F36"/>
    <w:rsid w:val="2A7168AF"/>
    <w:rsid w:val="2A75124D"/>
    <w:rsid w:val="2A75678B"/>
    <w:rsid w:val="2A7B4E78"/>
    <w:rsid w:val="2A827D47"/>
    <w:rsid w:val="2A8D1F89"/>
    <w:rsid w:val="2A973D63"/>
    <w:rsid w:val="2AA351C1"/>
    <w:rsid w:val="2AB40856"/>
    <w:rsid w:val="2ABB6F9D"/>
    <w:rsid w:val="2ABD76CB"/>
    <w:rsid w:val="2AC460BD"/>
    <w:rsid w:val="2ACF0D4B"/>
    <w:rsid w:val="2ADB386F"/>
    <w:rsid w:val="2AE1748F"/>
    <w:rsid w:val="2AE946D1"/>
    <w:rsid w:val="2AEC63F7"/>
    <w:rsid w:val="2AED5B58"/>
    <w:rsid w:val="2AFC7825"/>
    <w:rsid w:val="2AFF2642"/>
    <w:rsid w:val="2AFF3B1A"/>
    <w:rsid w:val="2B002EF2"/>
    <w:rsid w:val="2B0D6A94"/>
    <w:rsid w:val="2B110798"/>
    <w:rsid w:val="2B127734"/>
    <w:rsid w:val="2B187BE8"/>
    <w:rsid w:val="2B1D093F"/>
    <w:rsid w:val="2B1F0D76"/>
    <w:rsid w:val="2B217E50"/>
    <w:rsid w:val="2B2A641E"/>
    <w:rsid w:val="2B3731A1"/>
    <w:rsid w:val="2B3B0CCE"/>
    <w:rsid w:val="2B42187C"/>
    <w:rsid w:val="2B460727"/>
    <w:rsid w:val="2B4A0652"/>
    <w:rsid w:val="2B527465"/>
    <w:rsid w:val="2B662895"/>
    <w:rsid w:val="2B665AC9"/>
    <w:rsid w:val="2B970F1F"/>
    <w:rsid w:val="2B9A5FE4"/>
    <w:rsid w:val="2BB20BE1"/>
    <w:rsid w:val="2BB500E6"/>
    <w:rsid w:val="2BB902BD"/>
    <w:rsid w:val="2BD24402"/>
    <w:rsid w:val="2BD25F01"/>
    <w:rsid w:val="2BDC26C6"/>
    <w:rsid w:val="2BDC35E9"/>
    <w:rsid w:val="2BE64A80"/>
    <w:rsid w:val="2BEF42F8"/>
    <w:rsid w:val="2C007A9C"/>
    <w:rsid w:val="2C0E7A3B"/>
    <w:rsid w:val="2C146979"/>
    <w:rsid w:val="2C1A7DCC"/>
    <w:rsid w:val="2C1C2143"/>
    <w:rsid w:val="2C551DB8"/>
    <w:rsid w:val="2C66413F"/>
    <w:rsid w:val="2C707F2D"/>
    <w:rsid w:val="2C75018F"/>
    <w:rsid w:val="2C7E0293"/>
    <w:rsid w:val="2C810F26"/>
    <w:rsid w:val="2C89570C"/>
    <w:rsid w:val="2CA77344"/>
    <w:rsid w:val="2CAA19CF"/>
    <w:rsid w:val="2CB2368C"/>
    <w:rsid w:val="2CB77631"/>
    <w:rsid w:val="2CB801FC"/>
    <w:rsid w:val="2CB845A9"/>
    <w:rsid w:val="2CBB7F02"/>
    <w:rsid w:val="2CBD3863"/>
    <w:rsid w:val="2CC26671"/>
    <w:rsid w:val="2CC761EA"/>
    <w:rsid w:val="2CD511C6"/>
    <w:rsid w:val="2CD7217B"/>
    <w:rsid w:val="2CD929B1"/>
    <w:rsid w:val="2CEB0DAF"/>
    <w:rsid w:val="2CFB6B30"/>
    <w:rsid w:val="2D042BF3"/>
    <w:rsid w:val="2D064F61"/>
    <w:rsid w:val="2D0A061C"/>
    <w:rsid w:val="2D0B4B8B"/>
    <w:rsid w:val="2D1C52E1"/>
    <w:rsid w:val="2D224AE5"/>
    <w:rsid w:val="2D2311D2"/>
    <w:rsid w:val="2D24278E"/>
    <w:rsid w:val="2D2D5A23"/>
    <w:rsid w:val="2D3A13C8"/>
    <w:rsid w:val="2D5B2364"/>
    <w:rsid w:val="2D5B49F1"/>
    <w:rsid w:val="2D66475E"/>
    <w:rsid w:val="2D6B3470"/>
    <w:rsid w:val="2D704244"/>
    <w:rsid w:val="2D744845"/>
    <w:rsid w:val="2D840728"/>
    <w:rsid w:val="2D8C62F4"/>
    <w:rsid w:val="2D932E80"/>
    <w:rsid w:val="2D984A87"/>
    <w:rsid w:val="2D9C310C"/>
    <w:rsid w:val="2DA325A1"/>
    <w:rsid w:val="2DAA1D1D"/>
    <w:rsid w:val="2DAE6302"/>
    <w:rsid w:val="2DBA05D3"/>
    <w:rsid w:val="2DDC3A08"/>
    <w:rsid w:val="2DE81743"/>
    <w:rsid w:val="2DED5081"/>
    <w:rsid w:val="2DEF3E37"/>
    <w:rsid w:val="2DF92C2D"/>
    <w:rsid w:val="2DFE2AF4"/>
    <w:rsid w:val="2E0860B3"/>
    <w:rsid w:val="2E185ED8"/>
    <w:rsid w:val="2E2236D3"/>
    <w:rsid w:val="2E3A1CB4"/>
    <w:rsid w:val="2E40587B"/>
    <w:rsid w:val="2E776F1D"/>
    <w:rsid w:val="2E7C32FB"/>
    <w:rsid w:val="2E7E0466"/>
    <w:rsid w:val="2E883242"/>
    <w:rsid w:val="2E9B1826"/>
    <w:rsid w:val="2EA97795"/>
    <w:rsid w:val="2EB9380B"/>
    <w:rsid w:val="2EC138F9"/>
    <w:rsid w:val="2ED42FC2"/>
    <w:rsid w:val="2EDF259E"/>
    <w:rsid w:val="2EE14DAE"/>
    <w:rsid w:val="2EE3690B"/>
    <w:rsid w:val="2EE43489"/>
    <w:rsid w:val="2EEF02FB"/>
    <w:rsid w:val="2EF80490"/>
    <w:rsid w:val="2EF93973"/>
    <w:rsid w:val="2F0135BC"/>
    <w:rsid w:val="2F1124F6"/>
    <w:rsid w:val="2F1657E1"/>
    <w:rsid w:val="2F311709"/>
    <w:rsid w:val="2F3B6959"/>
    <w:rsid w:val="2F58388C"/>
    <w:rsid w:val="2F60431B"/>
    <w:rsid w:val="2F680F76"/>
    <w:rsid w:val="2F690B93"/>
    <w:rsid w:val="2F6A39E6"/>
    <w:rsid w:val="2F704553"/>
    <w:rsid w:val="2F760DCE"/>
    <w:rsid w:val="2F83704A"/>
    <w:rsid w:val="2FA21665"/>
    <w:rsid w:val="2FAC10D9"/>
    <w:rsid w:val="2FAE409A"/>
    <w:rsid w:val="2FBA0F53"/>
    <w:rsid w:val="2FBB177C"/>
    <w:rsid w:val="2FC83D42"/>
    <w:rsid w:val="2FD67D39"/>
    <w:rsid w:val="2FE63A5A"/>
    <w:rsid w:val="2FE92913"/>
    <w:rsid w:val="2FE96201"/>
    <w:rsid w:val="2FEE76E5"/>
    <w:rsid w:val="2FF44149"/>
    <w:rsid w:val="2FF871B7"/>
    <w:rsid w:val="30075130"/>
    <w:rsid w:val="30096C8D"/>
    <w:rsid w:val="30101F66"/>
    <w:rsid w:val="30160C6B"/>
    <w:rsid w:val="301D3327"/>
    <w:rsid w:val="30200EB4"/>
    <w:rsid w:val="30227E8E"/>
    <w:rsid w:val="302A1181"/>
    <w:rsid w:val="302F3CF4"/>
    <w:rsid w:val="30392775"/>
    <w:rsid w:val="30394182"/>
    <w:rsid w:val="303E635C"/>
    <w:rsid w:val="30440FCE"/>
    <w:rsid w:val="306B317E"/>
    <w:rsid w:val="307625D7"/>
    <w:rsid w:val="308A5598"/>
    <w:rsid w:val="309474BF"/>
    <w:rsid w:val="309A7FEA"/>
    <w:rsid w:val="30A31ADC"/>
    <w:rsid w:val="30A509C5"/>
    <w:rsid w:val="30A56DA1"/>
    <w:rsid w:val="30B33251"/>
    <w:rsid w:val="30B34018"/>
    <w:rsid w:val="30B84FD8"/>
    <w:rsid w:val="30CB0480"/>
    <w:rsid w:val="30CD2BD9"/>
    <w:rsid w:val="30D17C03"/>
    <w:rsid w:val="30DA2D0E"/>
    <w:rsid w:val="30E663F1"/>
    <w:rsid w:val="30ED071C"/>
    <w:rsid w:val="30F74042"/>
    <w:rsid w:val="30FC11C5"/>
    <w:rsid w:val="3102018B"/>
    <w:rsid w:val="310A3D36"/>
    <w:rsid w:val="310B2FBB"/>
    <w:rsid w:val="311824BB"/>
    <w:rsid w:val="311B52D9"/>
    <w:rsid w:val="31205F90"/>
    <w:rsid w:val="31215B36"/>
    <w:rsid w:val="31244DD5"/>
    <w:rsid w:val="312769F0"/>
    <w:rsid w:val="312C0EED"/>
    <w:rsid w:val="31325453"/>
    <w:rsid w:val="31385F99"/>
    <w:rsid w:val="314315E1"/>
    <w:rsid w:val="31485A9F"/>
    <w:rsid w:val="314A42B6"/>
    <w:rsid w:val="314A7E5F"/>
    <w:rsid w:val="31763790"/>
    <w:rsid w:val="317B5174"/>
    <w:rsid w:val="317B5696"/>
    <w:rsid w:val="31814A31"/>
    <w:rsid w:val="3184205D"/>
    <w:rsid w:val="318B6384"/>
    <w:rsid w:val="31960B45"/>
    <w:rsid w:val="31A06479"/>
    <w:rsid w:val="31AF0235"/>
    <w:rsid w:val="31B351CA"/>
    <w:rsid w:val="31B46E85"/>
    <w:rsid w:val="31BB7185"/>
    <w:rsid w:val="31BC39B4"/>
    <w:rsid w:val="31C46D4E"/>
    <w:rsid w:val="31E067C2"/>
    <w:rsid w:val="31FB21A4"/>
    <w:rsid w:val="32156A78"/>
    <w:rsid w:val="32355318"/>
    <w:rsid w:val="323D2F29"/>
    <w:rsid w:val="323D595C"/>
    <w:rsid w:val="32643464"/>
    <w:rsid w:val="32805827"/>
    <w:rsid w:val="328B5395"/>
    <w:rsid w:val="328F0BF2"/>
    <w:rsid w:val="32900408"/>
    <w:rsid w:val="3291151E"/>
    <w:rsid w:val="329700AE"/>
    <w:rsid w:val="32AF48CD"/>
    <w:rsid w:val="32B3488D"/>
    <w:rsid w:val="32B9606B"/>
    <w:rsid w:val="32D127C6"/>
    <w:rsid w:val="32D30830"/>
    <w:rsid w:val="32D46109"/>
    <w:rsid w:val="32D55D4D"/>
    <w:rsid w:val="32DF5F5B"/>
    <w:rsid w:val="32EA54ED"/>
    <w:rsid w:val="32EA5E09"/>
    <w:rsid w:val="32FC672A"/>
    <w:rsid w:val="330418E8"/>
    <w:rsid w:val="3306401B"/>
    <w:rsid w:val="3309705A"/>
    <w:rsid w:val="330E187B"/>
    <w:rsid w:val="3313277B"/>
    <w:rsid w:val="33174D3C"/>
    <w:rsid w:val="33364C42"/>
    <w:rsid w:val="33567E5A"/>
    <w:rsid w:val="33717C7D"/>
    <w:rsid w:val="337652EE"/>
    <w:rsid w:val="338D296A"/>
    <w:rsid w:val="338F01F0"/>
    <w:rsid w:val="33911651"/>
    <w:rsid w:val="339161F5"/>
    <w:rsid w:val="33A57CB2"/>
    <w:rsid w:val="33C1366B"/>
    <w:rsid w:val="33C25FE2"/>
    <w:rsid w:val="33CE2628"/>
    <w:rsid w:val="33D03C45"/>
    <w:rsid w:val="33DE4F52"/>
    <w:rsid w:val="33E1222D"/>
    <w:rsid w:val="33F17C0A"/>
    <w:rsid w:val="33FB7815"/>
    <w:rsid w:val="341037A4"/>
    <w:rsid w:val="343046C8"/>
    <w:rsid w:val="343A1A7D"/>
    <w:rsid w:val="343C667C"/>
    <w:rsid w:val="3446387C"/>
    <w:rsid w:val="34475A2D"/>
    <w:rsid w:val="3453313C"/>
    <w:rsid w:val="345D298B"/>
    <w:rsid w:val="347031B7"/>
    <w:rsid w:val="347E62A9"/>
    <w:rsid w:val="34826665"/>
    <w:rsid w:val="34863705"/>
    <w:rsid w:val="34902BAA"/>
    <w:rsid w:val="34911BAB"/>
    <w:rsid w:val="34967FE5"/>
    <w:rsid w:val="34972A4E"/>
    <w:rsid w:val="349B6335"/>
    <w:rsid w:val="34B02A9E"/>
    <w:rsid w:val="34BA6177"/>
    <w:rsid w:val="34C1088A"/>
    <w:rsid w:val="34C560C0"/>
    <w:rsid w:val="34D25C1E"/>
    <w:rsid w:val="34D31450"/>
    <w:rsid w:val="34D46B8E"/>
    <w:rsid w:val="34E501AC"/>
    <w:rsid w:val="34F434B9"/>
    <w:rsid w:val="34FF4F0C"/>
    <w:rsid w:val="350C2A2C"/>
    <w:rsid w:val="3514399A"/>
    <w:rsid w:val="351E5393"/>
    <w:rsid w:val="351F28AC"/>
    <w:rsid w:val="353D1012"/>
    <w:rsid w:val="35430773"/>
    <w:rsid w:val="35572B22"/>
    <w:rsid w:val="356D72FB"/>
    <w:rsid w:val="3570418A"/>
    <w:rsid w:val="357321FD"/>
    <w:rsid w:val="357C5403"/>
    <w:rsid w:val="35830DA9"/>
    <w:rsid w:val="35874163"/>
    <w:rsid w:val="358A38D0"/>
    <w:rsid w:val="358B1CD9"/>
    <w:rsid w:val="358F5526"/>
    <w:rsid w:val="35907CBE"/>
    <w:rsid w:val="35990F74"/>
    <w:rsid w:val="359F70E0"/>
    <w:rsid w:val="35A074F7"/>
    <w:rsid w:val="35A60D59"/>
    <w:rsid w:val="35A72E80"/>
    <w:rsid w:val="35C70B8B"/>
    <w:rsid w:val="35CD398C"/>
    <w:rsid w:val="35D86C79"/>
    <w:rsid w:val="35EB2270"/>
    <w:rsid w:val="35EC5A6C"/>
    <w:rsid w:val="35F24840"/>
    <w:rsid w:val="35F31611"/>
    <w:rsid w:val="36011625"/>
    <w:rsid w:val="361132C1"/>
    <w:rsid w:val="361477F2"/>
    <w:rsid w:val="36232C9B"/>
    <w:rsid w:val="3627409E"/>
    <w:rsid w:val="362C62C2"/>
    <w:rsid w:val="362F57DF"/>
    <w:rsid w:val="36646778"/>
    <w:rsid w:val="36735ACD"/>
    <w:rsid w:val="3683099E"/>
    <w:rsid w:val="36890466"/>
    <w:rsid w:val="36AF0EE7"/>
    <w:rsid w:val="36CF2C97"/>
    <w:rsid w:val="36ED4C06"/>
    <w:rsid w:val="36F47EE0"/>
    <w:rsid w:val="36FF2B41"/>
    <w:rsid w:val="37000EF4"/>
    <w:rsid w:val="37014833"/>
    <w:rsid w:val="37017C31"/>
    <w:rsid w:val="370773B1"/>
    <w:rsid w:val="371671AF"/>
    <w:rsid w:val="372517F5"/>
    <w:rsid w:val="37341E94"/>
    <w:rsid w:val="373555EA"/>
    <w:rsid w:val="37356239"/>
    <w:rsid w:val="37391947"/>
    <w:rsid w:val="373C4F37"/>
    <w:rsid w:val="3741204A"/>
    <w:rsid w:val="37435B19"/>
    <w:rsid w:val="374732F7"/>
    <w:rsid w:val="37604425"/>
    <w:rsid w:val="376A11A4"/>
    <w:rsid w:val="3771696D"/>
    <w:rsid w:val="37750E8C"/>
    <w:rsid w:val="377C368F"/>
    <w:rsid w:val="377D4217"/>
    <w:rsid w:val="37872CD5"/>
    <w:rsid w:val="37916A71"/>
    <w:rsid w:val="37B2742C"/>
    <w:rsid w:val="37D96BC5"/>
    <w:rsid w:val="37EF1472"/>
    <w:rsid w:val="37F777B3"/>
    <w:rsid w:val="38035E86"/>
    <w:rsid w:val="380C61FD"/>
    <w:rsid w:val="3810486B"/>
    <w:rsid w:val="3810684C"/>
    <w:rsid w:val="38150F38"/>
    <w:rsid w:val="38177F9C"/>
    <w:rsid w:val="38212441"/>
    <w:rsid w:val="382667ED"/>
    <w:rsid w:val="38272EE1"/>
    <w:rsid w:val="382D3D96"/>
    <w:rsid w:val="38335600"/>
    <w:rsid w:val="38496005"/>
    <w:rsid w:val="38496A9D"/>
    <w:rsid w:val="384C4B7A"/>
    <w:rsid w:val="384D7468"/>
    <w:rsid w:val="384E4ECE"/>
    <w:rsid w:val="38594EFC"/>
    <w:rsid w:val="386454CA"/>
    <w:rsid w:val="38652308"/>
    <w:rsid w:val="3866736D"/>
    <w:rsid w:val="38695B65"/>
    <w:rsid w:val="387801CE"/>
    <w:rsid w:val="387941A7"/>
    <w:rsid w:val="387E2934"/>
    <w:rsid w:val="3884009B"/>
    <w:rsid w:val="388D5DD0"/>
    <w:rsid w:val="38914543"/>
    <w:rsid w:val="389F276E"/>
    <w:rsid w:val="38A35A9D"/>
    <w:rsid w:val="38A5311E"/>
    <w:rsid w:val="38A549AA"/>
    <w:rsid w:val="38A615B9"/>
    <w:rsid w:val="38B37524"/>
    <w:rsid w:val="38B53B23"/>
    <w:rsid w:val="38B671BB"/>
    <w:rsid w:val="38B87032"/>
    <w:rsid w:val="38BB3554"/>
    <w:rsid w:val="38CC35A6"/>
    <w:rsid w:val="38D0478B"/>
    <w:rsid w:val="38D74745"/>
    <w:rsid w:val="38E55222"/>
    <w:rsid w:val="38E63A33"/>
    <w:rsid w:val="38E63C2E"/>
    <w:rsid w:val="38EB395B"/>
    <w:rsid w:val="38EC6256"/>
    <w:rsid w:val="38F27BFB"/>
    <w:rsid w:val="38F463DA"/>
    <w:rsid w:val="38FB3C5A"/>
    <w:rsid w:val="38FE2DB7"/>
    <w:rsid w:val="390421CE"/>
    <w:rsid w:val="39110CCA"/>
    <w:rsid w:val="391B5C89"/>
    <w:rsid w:val="39233BCF"/>
    <w:rsid w:val="39246506"/>
    <w:rsid w:val="39285618"/>
    <w:rsid w:val="392C23E5"/>
    <w:rsid w:val="39321F9E"/>
    <w:rsid w:val="3932261C"/>
    <w:rsid w:val="393B0F2D"/>
    <w:rsid w:val="394740C6"/>
    <w:rsid w:val="394F15BD"/>
    <w:rsid w:val="39557B44"/>
    <w:rsid w:val="396306BD"/>
    <w:rsid w:val="396E4696"/>
    <w:rsid w:val="398173B5"/>
    <w:rsid w:val="398865E1"/>
    <w:rsid w:val="3989673C"/>
    <w:rsid w:val="399027CC"/>
    <w:rsid w:val="39A53CFD"/>
    <w:rsid w:val="39AA46AF"/>
    <w:rsid w:val="39AD30FA"/>
    <w:rsid w:val="39FA69E0"/>
    <w:rsid w:val="3A0312AE"/>
    <w:rsid w:val="3A05364B"/>
    <w:rsid w:val="3A0A6A64"/>
    <w:rsid w:val="3A0E3A89"/>
    <w:rsid w:val="3A0F5C48"/>
    <w:rsid w:val="3A113FA5"/>
    <w:rsid w:val="3A190B3C"/>
    <w:rsid w:val="3A3A53EC"/>
    <w:rsid w:val="3A3F0810"/>
    <w:rsid w:val="3A4F4FB1"/>
    <w:rsid w:val="3A517040"/>
    <w:rsid w:val="3A5426F9"/>
    <w:rsid w:val="3A5D7D8F"/>
    <w:rsid w:val="3A5F6901"/>
    <w:rsid w:val="3A6359E1"/>
    <w:rsid w:val="3A7574A8"/>
    <w:rsid w:val="3A7A1BD1"/>
    <w:rsid w:val="3A7B244E"/>
    <w:rsid w:val="3A8B2098"/>
    <w:rsid w:val="3A8E15D0"/>
    <w:rsid w:val="3A95122E"/>
    <w:rsid w:val="3A996A0D"/>
    <w:rsid w:val="3A9D3674"/>
    <w:rsid w:val="3ABE7F4A"/>
    <w:rsid w:val="3ACD79B0"/>
    <w:rsid w:val="3ACE304C"/>
    <w:rsid w:val="3AD734EE"/>
    <w:rsid w:val="3AE31B30"/>
    <w:rsid w:val="3AF41B0A"/>
    <w:rsid w:val="3AFA7F53"/>
    <w:rsid w:val="3AFF18CE"/>
    <w:rsid w:val="3B035FB8"/>
    <w:rsid w:val="3B1E6927"/>
    <w:rsid w:val="3B1F1A55"/>
    <w:rsid w:val="3B251603"/>
    <w:rsid w:val="3B3B16AA"/>
    <w:rsid w:val="3B446E43"/>
    <w:rsid w:val="3B4A7C38"/>
    <w:rsid w:val="3B4E76BA"/>
    <w:rsid w:val="3B630622"/>
    <w:rsid w:val="3B714D2A"/>
    <w:rsid w:val="3B736A8A"/>
    <w:rsid w:val="3B887B22"/>
    <w:rsid w:val="3B905615"/>
    <w:rsid w:val="3B973F00"/>
    <w:rsid w:val="3BA234D0"/>
    <w:rsid w:val="3BA326B3"/>
    <w:rsid w:val="3BB35839"/>
    <w:rsid w:val="3BC73700"/>
    <w:rsid w:val="3BC8070F"/>
    <w:rsid w:val="3BCF3B1F"/>
    <w:rsid w:val="3BD275E1"/>
    <w:rsid w:val="3BEE2633"/>
    <w:rsid w:val="3C0C2102"/>
    <w:rsid w:val="3C0C42B2"/>
    <w:rsid w:val="3C0C48AB"/>
    <w:rsid w:val="3C13009A"/>
    <w:rsid w:val="3C1531FC"/>
    <w:rsid w:val="3C164FF1"/>
    <w:rsid w:val="3C1E4502"/>
    <w:rsid w:val="3C210C6F"/>
    <w:rsid w:val="3C215964"/>
    <w:rsid w:val="3C2A41E5"/>
    <w:rsid w:val="3C2E5B89"/>
    <w:rsid w:val="3C2E7278"/>
    <w:rsid w:val="3C371777"/>
    <w:rsid w:val="3C4479FE"/>
    <w:rsid w:val="3C4E6FB6"/>
    <w:rsid w:val="3C555265"/>
    <w:rsid w:val="3C5A044A"/>
    <w:rsid w:val="3C637E92"/>
    <w:rsid w:val="3C7D72D8"/>
    <w:rsid w:val="3C93076C"/>
    <w:rsid w:val="3CA023AD"/>
    <w:rsid w:val="3CB43777"/>
    <w:rsid w:val="3CC2185A"/>
    <w:rsid w:val="3CC97EC1"/>
    <w:rsid w:val="3CD03AA4"/>
    <w:rsid w:val="3CD64B9E"/>
    <w:rsid w:val="3CDA44BC"/>
    <w:rsid w:val="3CDA580C"/>
    <w:rsid w:val="3D0A444D"/>
    <w:rsid w:val="3D0C450F"/>
    <w:rsid w:val="3D10543F"/>
    <w:rsid w:val="3D136292"/>
    <w:rsid w:val="3D177115"/>
    <w:rsid w:val="3D206B77"/>
    <w:rsid w:val="3D2E649C"/>
    <w:rsid w:val="3D3431C8"/>
    <w:rsid w:val="3D36486A"/>
    <w:rsid w:val="3D43560D"/>
    <w:rsid w:val="3D5117AB"/>
    <w:rsid w:val="3D5318BF"/>
    <w:rsid w:val="3D5515BB"/>
    <w:rsid w:val="3D560942"/>
    <w:rsid w:val="3D5E5004"/>
    <w:rsid w:val="3D65367C"/>
    <w:rsid w:val="3D661012"/>
    <w:rsid w:val="3D683E92"/>
    <w:rsid w:val="3D6A2BBC"/>
    <w:rsid w:val="3D72399D"/>
    <w:rsid w:val="3D7903A0"/>
    <w:rsid w:val="3D8D5696"/>
    <w:rsid w:val="3D9F5C7F"/>
    <w:rsid w:val="3DA0315A"/>
    <w:rsid w:val="3DA57031"/>
    <w:rsid w:val="3DB614F1"/>
    <w:rsid w:val="3DB848FF"/>
    <w:rsid w:val="3DBC1295"/>
    <w:rsid w:val="3DCE5AA6"/>
    <w:rsid w:val="3DF57E5B"/>
    <w:rsid w:val="3DFD2F7D"/>
    <w:rsid w:val="3E2C7655"/>
    <w:rsid w:val="3E2F0EAF"/>
    <w:rsid w:val="3E467618"/>
    <w:rsid w:val="3E48544D"/>
    <w:rsid w:val="3E4F2E2B"/>
    <w:rsid w:val="3E4F4F8D"/>
    <w:rsid w:val="3E501E77"/>
    <w:rsid w:val="3E5C4596"/>
    <w:rsid w:val="3E761991"/>
    <w:rsid w:val="3E8A4443"/>
    <w:rsid w:val="3E8B27C3"/>
    <w:rsid w:val="3E8F39B3"/>
    <w:rsid w:val="3E911016"/>
    <w:rsid w:val="3E947707"/>
    <w:rsid w:val="3E9D7521"/>
    <w:rsid w:val="3EA01F40"/>
    <w:rsid w:val="3EA83B3F"/>
    <w:rsid w:val="3EB13D6F"/>
    <w:rsid w:val="3EB22210"/>
    <w:rsid w:val="3EC744A6"/>
    <w:rsid w:val="3ECF46A4"/>
    <w:rsid w:val="3ED11ACF"/>
    <w:rsid w:val="3EDD01DB"/>
    <w:rsid w:val="3EE068B7"/>
    <w:rsid w:val="3EE967A9"/>
    <w:rsid w:val="3EE9762B"/>
    <w:rsid w:val="3EF36CCB"/>
    <w:rsid w:val="3F155E17"/>
    <w:rsid w:val="3F2C7235"/>
    <w:rsid w:val="3F3E75C2"/>
    <w:rsid w:val="3F5A52D3"/>
    <w:rsid w:val="3F6122D2"/>
    <w:rsid w:val="3F6217CC"/>
    <w:rsid w:val="3F646ADC"/>
    <w:rsid w:val="3F713C60"/>
    <w:rsid w:val="3F731883"/>
    <w:rsid w:val="3F826270"/>
    <w:rsid w:val="3F84719D"/>
    <w:rsid w:val="3F90239C"/>
    <w:rsid w:val="3F90299A"/>
    <w:rsid w:val="3FAA1C39"/>
    <w:rsid w:val="3FB4219D"/>
    <w:rsid w:val="3FB66BA5"/>
    <w:rsid w:val="3FDB7D4B"/>
    <w:rsid w:val="3FF25AF8"/>
    <w:rsid w:val="3FF405AF"/>
    <w:rsid w:val="3FFA082E"/>
    <w:rsid w:val="3FFB6447"/>
    <w:rsid w:val="400875DB"/>
    <w:rsid w:val="401D673B"/>
    <w:rsid w:val="402039DB"/>
    <w:rsid w:val="403517E9"/>
    <w:rsid w:val="40390C3D"/>
    <w:rsid w:val="403B4031"/>
    <w:rsid w:val="40474B0D"/>
    <w:rsid w:val="404A38BF"/>
    <w:rsid w:val="404E3FCC"/>
    <w:rsid w:val="405E09DE"/>
    <w:rsid w:val="40631F1F"/>
    <w:rsid w:val="406B67FF"/>
    <w:rsid w:val="407260AA"/>
    <w:rsid w:val="407779A1"/>
    <w:rsid w:val="4083131D"/>
    <w:rsid w:val="40863A14"/>
    <w:rsid w:val="40970E93"/>
    <w:rsid w:val="40987DA1"/>
    <w:rsid w:val="409A2364"/>
    <w:rsid w:val="40A10278"/>
    <w:rsid w:val="40AA2328"/>
    <w:rsid w:val="40B86C9C"/>
    <w:rsid w:val="40BD289A"/>
    <w:rsid w:val="40C10BA7"/>
    <w:rsid w:val="40D754B9"/>
    <w:rsid w:val="40E80916"/>
    <w:rsid w:val="40EA5361"/>
    <w:rsid w:val="41122A1B"/>
    <w:rsid w:val="4112386C"/>
    <w:rsid w:val="41184B67"/>
    <w:rsid w:val="411A7E18"/>
    <w:rsid w:val="41246DF5"/>
    <w:rsid w:val="41255468"/>
    <w:rsid w:val="412E2097"/>
    <w:rsid w:val="4137308F"/>
    <w:rsid w:val="413E3414"/>
    <w:rsid w:val="41486918"/>
    <w:rsid w:val="41606B08"/>
    <w:rsid w:val="41994517"/>
    <w:rsid w:val="419A1FE4"/>
    <w:rsid w:val="419D0432"/>
    <w:rsid w:val="41A07F24"/>
    <w:rsid w:val="41A52F02"/>
    <w:rsid w:val="41AF1C2F"/>
    <w:rsid w:val="41B21016"/>
    <w:rsid w:val="41B62102"/>
    <w:rsid w:val="41D159BC"/>
    <w:rsid w:val="41D3651F"/>
    <w:rsid w:val="41DD0DBA"/>
    <w:rsid w:val="41E4006B"/>
    <w:rsid w:val="41E72FF3"/>
    <w:rsid w:val="41E93910"/>
    <w:rsid w:val="41F11E06"/>
    <w:rsid w:val="41F5664C"/>
    <w:rsid w:val="41F86CB3"/>
    <w:rsid w:val="4203666A"/>
    <w:rsid w:val="42084ADE"/>
    <w:rsid w:val="42180E78"/>
    <w:rsid w:val="421831CA"/>
    <w:rsid w:val="421A66D2"/>
    <w:rsid w:val="42457292"/>
    <w:rsid w:val="4250103B"/>
    <w:rsid w:val="427219EE"/>
    <w:rsid w:val="42800771"/>
    <w:rsid w:val="42816C6B"/>
    <w:rsid w:val="42847978"/>
    <w:rsid w:val="42B7043E"/>
    <w:rsid w:val="42BD7E4B"/>
    <w:rsid w:val="42C2328C"/>
    <w:rsid w:val="42C43CCF"/>
    <w:rsid w:val="42D11C76"/>
    <w:rsid w:val="42D624D2"/>
    <w:rsid w:val="42EA15BF"/>
    <w:rsid w:val="42F35745"/>
    <w:rsid w:val="42F42185"/>
    <w:rsid w:val="42FE64A2"/>
    <w:rsid w:val="43000C09"/>
    <w:rsid w:val="43046B91"/>
    <w:rsid w:val="43114363"/>
    <w:rsid w:val="431166EB"/>
    <w:rsid w:val="43224C31"/>
    <w:rsid w:val="4328109F"/>
    <w:rsid w:val="432C3E8D"/>
    <w:rsid w:val="432F0ECA"/>
    <w:rsid w:val="43316CB1"/>
    <w:rsid w:val="43334859"/>
    <w:rsid w:val="433B4493"/>
    <w:rsid w:val="433F6185"/>
    <w:rsid w:val="435E347A"/>
    <w:rsid w:val="436A3A86"/>
    <w:rsid w:val="436D49C2"/>
    <w:rsid w:val="4374474B"/>
    <w:rsid w:val="4374493E"/>
    <w:rsid w:val="437E1101"/>
    <w:rsid w:val="438930C0"/>
    <w:rsid w:val="43A11B2F"/>
    <w:rsid w:val="43A67ECE"/>
    <w:rsid w:val="43AC55CB"/>
    <w:rsid w:val="43B21F90"/>
    <w:rsid w:val="43C83A33"/>
    <w:rsid w:val="43CD4D44"/>
    <w:rsid w:val="43DF262E"/>
    <w:rsid w:val="43EE4514"/>
    <w:rsid w:val="43EE4580"/>
    <w:rsid w:val="43F90167"/>
    <w:rsid w:val="44011C65"/>
    <w:rsid w:val="440352A0"/>
    <w:rsid w:val="440B417D"/>
    <w:rsid w:val="440E6581"/>
    <w:rsid w:val="44112E0A"/>
    <w:rsid w:val="44115355"/>
    <w:rsid w:val="44124DBF"/>
    <w:rsid w:val="44146943"/>
    <w:rsid w:val="442903BC"/>
    <w:rsid w:val="4435789E"/>
    <w:rsid w:val="44382DF2"/>
    <w:rsid w:val="44534647"/>
    <w:rsid w:val="445B47BE"/>
    <w:rsid w:val="446227E2"/>
    <w:rsid w:val="44701790"/>
    <w:rsid w:val="447668BD"/>
    <w:rsid w:val="44792831"/>
    <w:rsid w:val="4482582C"/>
    <w:rsid w:val="448279D5"/>
    <w:rsid w:val="448C34A1"/>
    <w:rsid w:val="449F6463"/>
    <w:rsid w:val="44B50864"/>
    <w:rsid w:val="44B94F02"/>
    <w:rsid w:val="44CB227E"/>
    <w:rsid w:val="44CF158A"/>
    <w:rsid w:val="44D21F0A"/>
    <w:rsid w:val="44E1665A"/>
    <w:rsid w:val="44E950A3"/>
    <w:rsid w:val="44F04521"/>
    <w:rsid w:val="45093C7C"/>
    <w:rsid w:val="450F2659"/>
    <w:rsid w:val="451B2D6B"/>
    <w:rsid w:val="45331F48"/>
    <w:rsid w:val="4536425A"/>
    <w:rsid w:val="453E3CC5"/>
    <w:rsid w:val="454460D6"/>
    <w:rsid w:val="45535035"/>
    <w:rsid w:val="45536040"/>
    <w:rsid w:val="45580EF6"/>
    <w:rsid w:val="4566489A"/>
    <w:rsid w:val="45672C74"/>
    <w:rsid w:val="456D5FAE"/>
    <w:rsid w:val="456E671F"/>
    <w:rsid w:val="45734DBF"/>
    <w:rsid w:val="45812EC4"/>
    <w:rsid w:val="45814816"/>
    <w:rsid w:val="458C1BB2"/>
    <w:rsid w:val="45A3076C"/>
    <w:rsid w:val="45B32B51"/>
    <w:rsid w:val="45BD31F1"/>
    <w:rsid w:val="45CB7B13"/>
    <w:rsid w:val="45CD2348"/>
    <w:rsid w:val="45D237CE"/>
    <w:rsid w:val="45D2606D"/>
    <w:rsid w:val="45DD313D"/>
    <w:rsid w:val="45F21FBE"/>
    <w:rsid w:val="45F937C8"/>
    <w:rsid w:val="46041439"/>
    <w:rsid w:val="46043D2F"/>
    <w:rsid w:val="461A7563"/>
    <w:rsid w:val="461D590B"/>
    <w:rsid w:val="46270614"/>
    <w:rsid w:val="463413F0"/>
    <w:rsid w:val="4639654F"/>
    <w:rsid w:val="4640185D"/>
    <w:rsid w:val="46565F3B"/>
    <w:rsid w:val="46601E83"/>
    <w:rsid w:val="466741A9"/>
    <w:rsid w:val="46687763"/>
    <w:rsid w:val="46715923"/>
    <w:rsid w:val="46775DF6"/>
    <w:rsid w:val="467779D9"/>
    <w:rsid w:val="467A6A0E"/>
    <w:rsid w:val="46801B82"/>
    <w:rsid w:val="46840ED9"/>
    <w:rsid w:val="46885D31"/>
    <w:rsid w:val="468B0BC6"/>
    <w:rsid w:val="46AF0A3B"/>
    <w:rsid w:val="46B174A8"/>
    <w:rsid w:val="46B37CAD"/>
    <w:rsid w:val="46C06504"/>
    <w:rsid w:val="46C524B9"/>
    <w:rsid w:val="46C66B89"/>
    <w:rsid w:val="46DA3945"/>
    <w:rsid w:val="46E35242"/>
    <w:rsid w:val="46E86EE1"/>
    <w:rsid w:val="46FA0C9B"/>
    <w:rsid w:val="46FE73B7"/>
    <w:rsid w:val="470A01F7"/>
    <w:rsid w:val="470C14C8"/>
    <w:rsid w:val="471A1019"/>
    <w:rsid w:val="471B34AE"/>
    <w:rsid w:val="471F03A0"/>
    <w:rsid w:val="47201D3A"/>
    <w:rsid w:val="47213810"/>
    <w:rsid w:val="47223422"/>
    <w:rsid w:val="47230302"/>
    <w:rsid w:val="47296207"/>
    <w:rsid w:val="474B68E1"/>
    <w:rsid w:val="474C3433"/>
    <w:rsid w:val="47523FA5"/>
    <w:rsid w:val="4759516F"/>
    <w:rsid w:val="475A6925"/>
    <w:rsid w:val="475E1E18"/>
    <w:rsid w:val="47600EED"/>
    <w:rsid w:val="4783284B"/>
    <w:rsid w:val="478D0CC4"/>
    <w:rsid w:val="478F48CB"/>
    <w:rsid w:val="47967925"/>
    <w:rsid w:val="47A27685"/>
    <w:rsid w:val="47AA6C2B"/>
    <w:rsid w:val="47AC1013"/>
    <w:rsid w:val="47B72460"/>
    <w:rsid w:val="47BB28BA"/>
    <w:rsid w:val="47C52DF3"/>
    <w:rsid w:val="47C9371B"/>
    <w:rsid w:val="47CF63DF"/>
    <w:rsid w:val="47DF7A02"/>
    <w:rsid w:val="47E56AA9"/>
    <w:rsid w:val="47E739C0"/>
    <w:rsid w:val="47E7544C"/>
    <w:rsid w:val="47F17EFE"/>
    <w:rsid w:val="47FD5BFC"/>
    <w:rsid w:val="480E024C"/>
    <w:rsid w:val="48154350"/>
    <w:rsid w:val="482C0D72"/>
    <w:rsid w:val="48395FA5"/>
    <w:rsid w:val="483F577F"/>
    <w:rsid w:val="4841065B"/>
    <w:rsid w:val="48421E98"/>
    <w:rsid w:val="485D1242"/>
    <w:rsid w:val="485F79E5"/>
    <w:rsid w:val="48636B30"/>
    <w:rsid w:val="48701EEC"/>
    <w:rsid w:val="48725E6D"/>
    <w:rsid w:val="48746EDE"/>
    <w:rsid w:val="48756297"/>
    <w:rsid w:val="48766333"/>
    <w:rsid w:val="488D1F3B"/>
    <w:rsid w:val="488E5557"/>
    <w:rsid w:val="48912381"/>
    <w:rsid w:val="489759B8"/>
    <w:rsid w:val="48993743"/>
    <w:rsid w:val="48A73967"/>
    <w:rsid w:val="48B36BCF"/>
    <w:rsid w:val="48B75A27"/>
    <w:rsid w:val="48B83D55"/>
    <w:rsid w:val="48D029C8"/>
    <w:rsid w:val="48E25D76"/>
    <w:rsid w:val="48E53656"/>
    <w:rsid w:val="48E657FA"/>
    <w:rsid w:val="48E91B7B"/>
    <w:rsid w:val="48EA5B25"/>
    <w:rsid w:val="48EC6B8B"/>
    <w:rsid w:val="490C030E"/>
    <w:rsid w:val="490E3014"/>
    <w:rsid w:val="49156AEE"/>
    <w:rsid w:val="491673C8"/>
    <w:rsid w:val="49185136"/>
    <w:rsid w:val="49232364"/>
    <w:rsid w:val="49282FC3"/>
    <w:rsid w:val="494C7123"/>
    <w:rsid w:val="49530A3B"/>
    <w:rsid w:val="495D3A46"/>
    <w:rsid w:val="496733CC"/>
    <w:rsid w:val="49746569"/>
    <w:rsid w:val="498B2119"/>
    <w:rsid w:val="498F4186"/>
    <w:rsid w:val="4999717C"/>
    <w:rsid w:val="499D6A93"/>
    <w:rsid w:val="49A14236"/>
    <w:rsid w:val="49AB0DAA"/>
    <w:rsid w:val="49C924EA"/>
    <w:rsid w:val="49CF5EF0"/>
    <w:rsid w:val="49E0170F"/>
    <w:rsid w:val="49E24D0B"/>
    <w:rsid w:val="49E42A4E"/>
    <w:rsid w:val="49E604A5"/>
    <w:rsid w:val="4A004919"/>
    <w:rsid w:val="4A063FC8"/>
    <w:rsid w:val="4A1D6AA2"/>
    <w:rsid w:val="4A310266"/>
    <w:rsid w:val="4A583C7D"/>
    <w:rsid w:val="4A6907B9"/>
    <w:rsid w:val="4A6B201C"/>
    <w:rsid w:val="4A6E6C29"/>
    <w:rsid w:val="4A723B75"/>
    <w:rsid w:val="4A753CC9"/>
    <w:rsid w:val="4A772E85"/>
    <w:rsid w:val="4A7913C5"/>
    <w:rsid w:val="4A8322FC"/>
    <w:rsid w:val="4A997FE1"/>
    <w:rsid w:val="4AA22BBA"/>
    <w:rsid w:val="4AAE353B"/>
    <w:rsid w:val="4ABF59EE"/>
    <w:rsid w:val="4ACC4962"/>
    <w:rsid w:val="4AD14E68"/>
    <w:rsid w:val="4AD31C4C"/>
    <w:rsid w:val="4AD77BD0"/>
    <w:rsid w:val="4ADC5631"/>
    <w:rsid w:val="4AE86505"/>
    <w:rsid w:val="4AF00502"/>
    <w:rsid w:val="4AF55B3C"/>
    <w:rsid w:val="4AF72E8D"/>
    <w:rsid w:val="4AFA1FDC"/>
    <w:rsid w:val="4B0236D0"/>
    <w:rsid w:val="4B0A3B83"/>
    <w:rsid w:val="4B0A4B55"/>
    <w:rsid w:val="4B121BA1"/>
    <w:rsid w:val="4B144A50"/>
    <w:rsid w:val="4B254CF7"/>
    <w:rsid w:val="4B26386F"/>
    <w:rsid w:val="4B294FB0"/>
    <w:rsid w:val="4B2E41E9"/>
    <w:rsid w:val="4B3B1912"/>
    <w:rsid w:val="4B566FC4"/>
    <w:rsid w:val="4B5B78BB"/>
    <w:rsid w:val="4B5C72E8"/>
    <w:rsid w:val="4B794C78"/>
    <w:rsid w:val="4B7D0869"/>
    <w:rsid w:val="4B85638E"/>
    <w:rsid w:val="4B892376"/>
    <w:rsid w:val="4B8A5278"/>
    <w:rsid w:val="4B926D3B"/>
    <w:rsid w:val="4B96570D"/>
    <w:rsid w:val="4BA37670"/>
    <w:rsid w:val="4BA4331D"/>
    <w:rsid w:val="4BA47B92"/>
    <w:rsid w:val="4BA5313B"/>
    <w:rsid w:val="4BAA04DB"/>
    <w:rsid w:val="4BAD528A"/>
    <w:rsid w:val="4BAF47CB"/>
    <w:rsid w:val="4BB4650A"/>
    <w:rsid w:val="4BB8662F"/>
    <w:rsid w:val="4BC97767"/>
    <w:rsid w:val="4BCA52FD"/>
    <w:rsid w:val="4BCE0E02"/>
    <w:rsid w:val="4BDC15E3"/>
    <w:rsid w:val="4BEA4F23"/>
    <w:rsid w:val="4C003360"/>
    <w:rsid w:val="4C046BA3"/>
    <w:rsid w:val="4C0F0613"/>
    <w:rsid w:val="4C2C699A"/>
    <w:rsid w:val="4C2F4D85"/>
    <w:rsid w:val="4C370850"/>
    <w:rsid w:val="4C3807F7"/>
    <w:rsid w:val="4C381A8F"/>
    <w:rsid w:val="4C3F77DB"/>
    <w:rsid w:val="4C4C1A49"/>
    <w:rsid w:val="4C4C30BA"/>
    <w:rsid w:val="4C5255BA"/>
    <w:rsid w:val="4C5755F5"/>
    <w:rsid w:val="4C6D23F8"/>
    <w:rsid w:val="4C6F6FDF"/>
    <w:rsid w:val="4C767193"/>
    <w:rsid w:val="4C7C0570"/>
    <w:rsid w:val="4C820C72"/>
    <w:rsid w:val="4C8B4239"/>
    <w:rsid w:val="4C8B49B0"/>
    <w:rsid w:val="4C9F78A7"/>
    <w:rsid w:val="4CA6753D"/>
    <w:rsid w:val="4CB93918"/>
    <w:rsid w:val="4CB96780"/>
    <w:rsid w:val="4CC35D08"/>
    <w:rsid w:val="4CC739D9"/>
    <w:rsid w:val="4CD20F7D"/>
    <w:rsid w:val="4CD809FE"/>
    <w:rsid w:val="4CE445F2"/>
    <w:rsid w:val="4CE86DDA"/>
    <w:rsid w:val="4CE951D9"/>
    <w:rsid w:val="4CF22834"/>
    <w:rsid w:val="4D0234E7"/>
    <w:rsid w:val="4D063B6E"/>
    <w:rsid w:val="4D0747F4"/>
    <w:rsid w:val="4D141110"/>
    <w:rsid w:val="4D1A2C8E"/>
    <w:rsid w:val="4D221E28"/>
    <w:rsid w:val="4D3A1A0B"/>
    <w:rsid w:val="4D4A3654"/>
    <w:rsid w:val="4D5A5463"/>
    <w:rsid w:val="4D5C2B25"/>
    <w:rsid w:val="4D7A6D33"/>
    <w:rsid w:val="4D960E90"/>
    <w:rsid w:val="4D9E20F3"/>
    <w:rsid w:val="4DAA0783"/>
    <w:rsid w:val="4DAF3C0D"/>
    <w:rsid w:val="4DB54F84"/>
    <w:rsid w:val="4DBC395F"/>
    <w:rsid w:val="4DC26034"/>
    <w:rsid w:val="4DC42A39"/>
    <w:rsid w:val="4DC74971"/>
    <w:rsid w:val="4DD313A7"/>
    <w:rsid w:val="4DD705FC"/>
    <w:rsid w:val="4DDB240A"/>
    <w:rsid w:val="4DDE7AD3"/>
    <w:rsid w:val="4DEA20B7"/>
    <w:rsid w:val="4DEA63E6"/>
    <w:rsid w:val="4DEE2EC3"/>
    <w:rsid w:val="4DF95E5F"/>
    <w:rsid w:val="4DFC264E"/>
    <w:rsid w:val="4E053111"/>
    <w:rsid w:val="4E0C3F1A"/>
    <w:rsid w:val="4E151E95"/>
    <w:rsid w:val="4E1C64CC"/>
    <w:rsid w:val="4E1E07B9"/>
    <w:rsid w:val="4E213BC6"/>
    <w:rsid w:val="4E3E7D88"/>
    <w:rsid w:val="4E402C18"/>
    <w:rsid w:val="4E4F0387"/>
    <w:rsid w:val="4E50387E"/>
    <w:rsid w:val="4E5632BA"/>
    <w:rsid w:val="4E5663FE"/>
    <w:rsid w:val="4E66734B"/>
    <w:rsid w:val="4E766683"/>
    <w:rsid w:val="4E7C6083"/>
    <w:rsid w:val="4E827ADB"/>
    <w:rsid w:val="4E833543"/>
    <w:rsid w:val="4EAD57CB"/>
    <w:rsid w:val="4EBC3889"/>
    <w:rsid w:val="4ED778EB"/>
    <w:rsid w:val="4EDB3D67"/>
    <w:rsid w:val="4EDC301D"/>
    <w:rsid w:val="4EE07928"/>
    <w:rsid w:val="4EEC725A"/>
    <w:rsid w:val="4EED0349"/>
    <w:rsid w:val="4EF903CB"/>
    <w:rsid w:val="4EFB38F0"/>
    <w:rsid w:val="4EFC0EB4"/>
    <w:rsid w:val="4F024ADC"/>
    <w:rsid w:val="4F043512"/>
    <w:rsid w:val="4F1F14B7"/>
    <w:rsid w:val="4F321D2B"/>
    <w:rsid w:val="4F337A16"/>
    <w:rsid w:val="4F3816B0"/>
    <w:rsid w:val="4F4655DD"/>
    <w:rsid w:val="4F483C7F"/>
    <w:rsid w:val="4F4E4EF6"/>
    <w:rsid w:val="4F71432C"/>
    <w:rsid w:val="4F813099"/>
    <w:rsid w:val="4F820029"/>
    <w:rsid w:val="4F8A418D"/>
    <w:rsid w:val="4F8C6F02"/>
    <w:rsid w:val="4F97141A"/>
    <w:rsid w:val="4F982699"/>
    <w:rsid w:val="4F9C1768"/>
    <w:rsid w:val="4FA0465B"/>
    <w:rsid w:val="4FA05234"/>
    <w:rsid w:val="4FA80017"/>
    <w:rsid w:val="4FB94F4E"/>
    <w:rsid w:val="4FBC7769"/>
    <w:rsid w:val="4FBF1FE1"/>
    <w:rsid w:val="4FC94E36"/>
    <w:rsid w:val="4FD645BB"/>
    <w:rsid w:val="4FD826E2"/>
    <w:rsid w:val="4FDB52AD"/>
    <w:rsid w:val="4FE97446"/>
    <w:rsid w:val="4FEB6D86"/>
    <w:rsid w:val="50037AF5"/>
    <w:rsid w:val="50047D78"/>
    <w:rsid w:val="500E7FA3"/>
    <w:rsid w:val="500F4341"/>
    <w:rsid w:val="501F70B0"/>
    <w:rsid w:val="502D026E"/>
    <w:rsid w:val="502E4468"/>
    <w:rsid w:val="503034C7"/>
    <w:rsid w:val="50343D24"/>
    <w:rsid w:val="50357E4C"/>
    <w:rsid w:val="5037420D"/>
    <w:rsid w:val="503C619A"/>
    <w:rsid w:val="50424663"/>
    <w:rsid w:val="505010E0"/>
    <w:rsid w:val="505079AF"/>
    <w:rsid w:val="50525B8C"/>
    <w:rsid w:val="506346EF"/>
    <w:rsid w:val="50733920"/>
    <w:rsid w:val="507A2BEB"/>
    <w:rsid w:val="508D18F4"/>
    <w:rsid w:val="50A07F0A"/>
    <w:rsid w:val="50A213BE"/>
    <w:rsid w:val="50A33B63"/>
    <w:rsid w:val="50A957D9"/>
    <w:rsid w:val="50AD0016"/>
    <w:rsid w:val="50B461D9"/>
    <w:rsid w:val="50D50F8B"/>
    <w:rsid w:val="50E7584F"/>
    <w:rsid w:val="50E86210"/>
    <w:rsid w:val="50EB1E40"/>
    <w:rsid w:val="50EC11FF"/>
    <w:rsid w:val="50EF254A"/>
    <w:rsid w:val="51000841"/>
    <w:rsid w:val="51062E48"/>
    <w:rsid w:val="51081A29"/>
    <w:rsid w:val="51143177"/>
    <w:rsid w:val="51166616"/>
    <w:rsid w:val="511A7A34"/>
    <w:rsid w:val="512408F9"/>
    <w:rsid w:val="5128158F"/>
    <w:rsid w:val="512B0EE9"/>
    <w:rsid w:val="512B13D5"/>
    <w:rsid w:val="51384BA6"/>
    <w:rsid w:val="51415CB1"/>
    <w:rsid w:val="515C5067"/>
    <w:rsid w:val="51657BD6"/>
    <w:rsid w:val="516D7F8D"/>
    <w:rsid w:val="51836B10"/>
    <w:rsid w:val="5190123B"/>
    <w:rsid w:val="51A04385"/>
    <w:rsid w:val="51A12ED0"/>
    <w:rsid w:val="51AF0201"/>
    <w:rsid w:val="51D13AC4"/>
    <w:rsid w:val="51D41549"/>
    <w:rsid w:val="51E10C13"/>
    <w:rsid w:val="51E500AA"/>
    <w:rsid w:val="520734A5"/>
    <w:rsid w:val="5214371F"/>
    <w:rsid w:val="52157760"/>
    <w:rsid w:val="521C1607"/>
    <w:rsid w:val="521D1489"/>
    <w:rsid w:val="52222836"/>
    <w:rsid w:val="52261E78"/>
    <w:rsid w:val="522B0DBD"/>
    <w:rsid w:val="523362F0"/>
    <w:rsid w:val="52376ABA"/>
    <w:rsid w:val="524D322E"/>
    <w:rsid w:val="525E27CF"/>
    <w:rsid w:val="526172D9"/>
    <w:rsid w:val="526B25A8"/>
    <w:rsid w:val="526C1700"/>
    <w:rsid w:val="527A428E"/>
    <w:rsid w:val="527F4252"/>
    <w:rsid w:val="52887FDE"/>
    <w:rsid w:val="52905E03"/>
    <w:rsid w:val="52985FD2"/>
    <w:rsid w:val="529A036C"/>
    <w:rsid w:val="52A70615"/>
    <w:rsid w:val="52BB78E1"/>
    <w:rsid w:val="52BD7E40"/>
    <w:rsid w:val="52C0662F"/>
    <w:rsid w:val="52C10500"/>
    <w:rsid w:val="52C105E6"/>
    <w:rsid w:val="52CE330C"/>
    <w:rsid w:val="52D92BBB"/>
    <w:rsid w:val="52EC3C2F"/>
    <w:rsid w:val="52F519F2"/>
    <w:rsid w:val="53064660"/>
    <w:rsid w:val="5312032F"/>
    <w:rsid w:val="53181217"/>
    <w:rsid w:val="531D3492"/>
    <w:rsid w:val="531F5DAC"/>
    <w:rsid w:val="5321588E"/>
    <w:rsid w:val="5329669B"/>
    <w:rsid w:val="5346224B"/>
    <w:rsid w:val="5346321C"/>
    <w:rsid w:val="53521E6C"/>
    <w:rsid w:val="535B7186"/>
    <w:rsid w:val="536E4971"/>
    <w:rsid w:val="537017EF"/>
    <w:rsid w:val="53893478"/>
    <w:rsid w:val="538C0F37"/>
    <w:rsid w:val="5397046C"/>
    <w:rsid w:val="53A22F4B"/>
    <w:rsid w:val="53A2740F"/>
    <w:rsid w:val="53A968B5"/>
    <w:rsid w:val="53B11857"/>
    <w:rsid w:val="53B50929"/>
    <w:rsid w:val="53B839E4"/>
    <w:rsid w:val="53BB0DE9"/>
    <w:rsid w:val="53CF381D"/>
    <w:rsid w:val="53D208C3"/>
    <w:rsid w:val="53DC33CC"/>
    <w:rsid w:val="53E50C27"/>
    <w:rsid w:val="53E54948"/>
    <w:rsid w:val="53E76D5F"/>
    <w:rsid w:val="53EC00EC"/>
    <w:rsid w:val="53F20F80"/>
    <w:rsid w:val="53FB35CA"/>
    <w:rsid w:val="54083B01"/>
    <w:rsid w:val="54106387"/>
    <w:rsid w:val="542C72E4"/>
    <w:rsid w:val="54321B28"/>
    <w:rsid w:val="5441681C"/>
    <w:rsid w:val="54454AB3"/>
    <w:rsid w:val="54475D43"/>
    <w:rsid w:val="545303F6"/>
    <w:rsid w:val="54606ADB"/>
    <w:rsid w:val="54663ECE"/>
    <w:rsid w:val="54716F4F"/>
    <w:rsid w:val="5485403D"/>
    <w:rsid w:val="5497014B"/>
    <w:rsid w:val="5499363C"/>
    <w:rsid w:val="549A54EF"/>
    <w:rsid w:val="549C4FD9"/>
    <w:rsid w:val="54A03916"/>
    <w:rsid w:val="54B2789B"/>
    <w:rsid w:val="54BB40B0"/>
    <w:rsid w:val="54C32F8C"/>
    <w:rsid w:val="54D112D7"/>
    <w:rsid w:val="54D275E7"/>
    <w:rsid w:val="54E06C86"/>
    <w:rsid w:val="54EC46B8"/>
    <w:rsid w:val="54F65DE9"/>
    <w:rsid w:val="54FC0B9D"/>
    <w:rsid w:val="55126889"/>
    <w:rsid w:val="55157519"/>
    <w:rsid w:val="55190188"/>
    <w:rsid w:val="552E1C15"/>
    <w:rsid w:val="55384985"/>
    <w:rsid w:val="553D3042"/>
    <w:rsid w:val="55442964"/>
    <w:rsid w:val="55466CB6"/>
    <w:rsid w:val="55496D30"/>
    <w:rsid w:val="554B7BE6"/>
    <w:rsid w:val="555F1A88"/>
    <w:rsid w:val="556367F2"/>
    <w:rsid w:val="55671A5F"/>
    <w:rsid w:val="556A4844"/>
    <w:rsid w:val="55767D0B"/>
    <w:rsid w:val="5586356B"/>
    <w:rsid w:val="558D4BE4"/>
    <w:rsid w:val="558D5AB4"/>
    <w:rsid w:val="55927A41"/>
    <w:rsid w:val="559324E5"/>
    <w:rsid w:val="55946FA9"/>
    <w:rsid w:val="55A00F91"/>
    <w:rsid w:val="55B55E3A"/>
    <w:rsid w:val="55BD5AE3"/>
    <w:rsid w:val="55C615B8"/>
    <w:rsid w:val="55C7319F"/>
    <w:rsid w:val="55CF23F6"/>
    <w:rsid w:val="55DB45ED"/>
    <w:rsid w:val="55E041E8"/>
    <w:rsid w:val="55E75441"/>
    <w:rsid w:val="55F02DA7"/>
    <w:rsid w:val="55FF44E5"/>
    <w:rsid w:val="560077B1"/>
    <w:rsid w:val="56010573"/>
    <w:rsid w:val="560A1055"/>
    <w:rsid w:val="56146177"/>
    <w:rsid w:val="562B7650"/>
    <w:rsid w:val="562F1B56"/>
    <w:rsid w:val="5630447E"/>
    <w:rsid w:val="56396BE6"/>
    <w:rsid w:val="564E4686"/>
    <w:rsid w:val="56515E30"/>
    <w:rsid w:val="56624372"/>
    <w:rsid w:val="56677FD2"/>
    <w:rsid w:val="566C2354"/>
    <w:rsid w:val="566F2C4E"/>
    <w:rsid w:val="56774EBC"/>
    <w:rsid w:val="567A23B8"/>
    <w:rsid w:val="567D1796"/>
    <w:rsid w:val="56802CA6"/>
    <w:rsid w:val="56815D19"/>
    <w:rsid w:val="568F5A87"/>
    <w:rsid w:val="56AF59A1"/>
    <w:rsid w:val="56C85A15"/>
    <w:rsid w:val="56EB1256"/>
    <w:rsid w:val="56F054B4"/>
    <w:rsid w:val="56F13095"/>
    <w:rsid w:val="56F441D0"/>
    <w:rsid w:val="56F5359B"/>
    <w:rsid w:val="56F72DF7"/>
    <w:rsid w:val="56F911AC"/>
    <w:rsid w:val="570A3CDA"/>
    <w:rsid w:val="570C1C0B"/>
    <w:rsid w:val="571734CC"/>
    <w:rsid w:val="571A5A99"/>
    <w:rsid w:val="571B2D47"/>
    <w:rsid w:val="571E5A82"/>
    <w:rsid w:val="5724700A"/>
    <w:rsid w:val="572D07B8"/>
    <w:rsid w:val="572E53B2"/>
    <w:rsid w:val="57331C60"/>
    <w:rsid w:val="57332FDB"/>
    <w:rsid w:val="57367B1B"/>
    <w:rsid w:val="573D7321"/>
    <w:rsid w:val="57445006"/>
    <w:rsid w:val="57470760"/>
    <w:rsid w:val="57551C15"/>
    <w:rsid w:val="575E33F6"/>
    <w:rsid w:val="57655A18"/>
    <w:rsid w:val="57793814"/>
    <w:rsid w:val="578237A9"/>
    <w:rsid w:val="57876591"/>
    <w:rsid w:val="579615FE"/>
    <w:rsid w:val="579D0A89"/>
    <w:rsid w:val="579D4602"/>
    <w:rsid w:val="579D7DCD"/>
    <w:rsid w:val="57A0461D"/>
    <w:rsid w:val="57A30CA9"/>
    <w:rsid w:val="57B76FB3"/>
    <w:rsid w:val="57B845A5"/>
    <w:rsid w:val="57B902AD"/>
    <w:rsid w:val="57BA2137"/>
    <w:rsid w:val="57BD42CB"/>
    <w:rsid w:val="57BF2269"/>
    <w:rsid w:val="57D23137"/>
    <w:rsid w:val="57D335FC"/>
    <w:rsid w:val="57D77FF4"/>
    <w:rsid w:val="57E2287A"/>
    <w:rsid w:val="57E84639"/>
    <w:rsid w:val="57EB09C1"/>
    <w:rsid w:val="57F6014A"/>
    <w:rsid w:val="57FC2475"/>
    <w:rsid w:val="57FE09E0"/>
    <w:rsid w:val="58051692"/>
    <w:rsid w:val="580E4B12"/>
    <w:rsid w:val="581C4F86"/>
    <w:rsid w:val="581C52DD"/>
    <w:rsid w:val="58234131"/>
    <w:rsid w:val="58247A62"/>
    <w:rsid w:val="58277BAF"/>
    <w:rsid w:val="5831380D"/>
    <w:rsid w:val="58317DB0"/>
    <w:rsid w:val="58331EEF"/>
    <w:rsid w:val="583A00CE"/>
    <w:rsid w:val="583E7865"/>
    <w:rsid w:val="5842713B"/>
    <w:rsid w:val="584446D8"/>
    <w:rsid w:val="584B5F51"/>
    <w:rsid w:val="584B7587"/>
    <w:rsid w:val="58604733"/>
    <w:rsid w:val="58607C8D"/>
    <w:rsid w:val="58626BAB"/>
    <w:rsid w:val="586316BC"/>
    <w:rsid w:val="58673940"/>
    <w:rsid w:val="586E3743"/>
    <w:rsid w:val="587144E9"/>
    <w:rsid w:val="58761FC3"/>
    <w:rsid w:val="58895993"/>
    <w:rsid w:val="588F26F7"/>
    <w:rsid w:val="58923295"/>
    <w:rsid w:val="58BA05DA"/>
    <w:rsid w:val="58C51A10"/>
    <w:rsid w:val="58CF7762"/>
    <w:rsid w:val="58D24F98"/>
    <w:rsid w:val="58DD65D0"/>
    <w:rsid w:val="58EE62BD"/>
    <w:rsid w:val="59012219"/>
    <w:rsid w:val="59202E6B"/>
    <w:rsid w:val="59264CED"/>
    <w:rsid w:val="592A7C31"/>
    <w:rsid w:val="59383BEA"/>
    <w:rsid w:val="59385F09"/>
    <w:rsid w:val="59491C02"/>
    <w:rsid w:val="594E5A57"/>
    <w:rsid w:val="5955071E"/>
    <w:rsid w:val="595F1626"/>
    <w:rsid w:val="59792C5C"/>
    <w:rsid w:val="597F3764"/>
    <w:rsid w:val="5983385D"/>
    <w:rsid w:val="599B25C4"/>
    <w:rsid w:val="59A54CBF"/>
    <w:rsid w:val="59C70388"/>
    <w:rsid w:val="59CA51CD"/>
    <w:rsid w:val="59E91F68"/>
    <w:rsid w:val="59E920F2"/>
    <w:rsid w:val="5A003D25"/>
    <w:rsid w:val="5A035BC7"/>
    <w:rsid w:val="5A0606B3"/>
    <w:rsid w:val="5A112AD4"/>
    <w:rsid w:val="5A1E19C2"/>
    <w:rsid w:val="5A1F0867"/>
    <w:rsid w:val="5A213E62"/>
    <w:rsid w:val="5A2B13C9"/>
    <w:rsid w:val="5A335AE8"/>
    <w:rsid w:val="5A340894"/>
    <w:rsid w:val="5A3733E0"/>
    <w:rsid w:val="5A4405EC"/>
    <w:rsid w:val="5A461C81"/>
    <w:rsid w:val="5A552305"/>
    <w:rsid w:val="5A5B34FF"/>
    <w:rsid w:val="5A5F5176"/>
    <w:rsid w:val="5A612C66"/>
    <w:rsid w:val="5A6E4ED4"/>
    <w:rsid w:val="5A723379"/>
    <w:rsid w:val="5A8060FD"/>
    <w:rsid w:val="5A82494C"/>
    <w:rsid w:val="5A953B8F"/>
    <w:rsid w:val="5A9A6FA3"/>
    <w:rsid w:val="5AAA3FF7"/>
    <w:rsid w:val="5AB26ECF"/>
    <w:rsid w:val="5ABA31D5"/>
    <w:rsid w:val="5AC37892"/>
    <w:rsid w:val="5AD46F1D"/>
    <w:rsid w:val="5AD9212A"/>
    <w:rsid w:val="5ADB43DA"/>
    <w:rsid w:val="5ADF482F"/>
    <w:rsid w:val="5AE00AF0"/>
    <w:rsid w:val="5AE065AB"/>
    <w:rsid w:val="5AEC1C27"/>
    <w:rsid w:val="5AF97668"/>
    <w:rsid w:val="5B014AE3"/>
    <w:rsid w:val="5B0F0E15"/>
    <w:rsid w:val="5B1F248C"/>
    <w:rsid w:val="5B450DB8"/>
    <w:rsid w:val="5B522616"/>
    <w:rsid w:val="5B64529D"/>
    <w:rsid w:val="5B65055D"/>
    <w:rsid w:val="5B67505F"/>
    <w:rsid w:val="5B7418B7"/>
    <w:rsid w:val="5B7B3588"/>
    <w:rsid w:val="5B7C7F30"/>
    <w:rsid w:val="5B7D1FF0"/>
    <w:rsid w:val="5B8A2101"/>
    <w:rsid w:val="5B93049E"/>
    <w:rsid w:val="5B940224"/>
    <w:rsid w:val="5BA13457"/>
    <w:rsid w:val="5BAC00A5"/>
    <w:rsid w:val="5BB845CF"/>
    <w:rsid w:val="5BD616DD"/>
    <w:rsid w:val="5BE36614"/>
    <w:rsid w:val="5BFA023B"/>
    <w:rsid w:val="5C011836"/>
    <w:rsid w:val="5C0410C9"/>
    <w:rsid w:val="5C0B1FEA"/>
    <w:rsid w:val="5C0F5CD4"/>
    <w:rsid w:val="5C1F1A64"/>
    <w:rsid w:val="5C20418D"/>
    <w:rsid w:val="5C2A3D0B"/>
    <w:rsid w:val="5C4B14A0"/>
    <w:rsid w:val="5C536DEF"/>
    <w:rsid w:val="5C566734"/>
    <w:rsid w:val="5C5F6409"/>
    <w:rsid w:val="5C692B7B"/>
    <w:rsid w:val="5C6D35D4"/>
    <w:rsid w:val="5C777951"/>
    <w:rsid w:val="5C8A1F14"/>
    <w:rsid w:val="5CA25DE5"/>
    <w:rsid w:val="5CA90F8D"/>
    <w:rsid w:val="5CAD7010"/>
    <w:rsid w:val="5CC464DF"/>
    <w:rsid w:val="5CCD62E1"/>
    <w:rsid w:val="5CD22D0A"/>
    <w:rsid w:val="5CD50196"/>
    <w:rsid w:val="5CE55D16"/>
    <w:rsid w:val="5CE615EA"/>
    <w:rsid w:val="5CEC52CA"/>
    <w:rsid w:val="5D03103C"/>
    <w:rsid w:val="5D03453E"/>
    <w:rsid w:val="5D177E9C"/>
    <w:rsid w:val="5D1B40EB"/>
    <w:rsid w:val="5D21784E"/>
    <w:rsid w:val="5D273136"/>
    <w:rsid w:val="5D316952"/>
    <w:rsid w:val="5D326AFF"/>
    <w:rsid w:val="5D367E22"/>
    <w:rsid w:val="5D3808E5"/>
    <w:rsid w:val="5D473D0F"/>
    <w:rsid w:val="5D487379"/>
    <w:rsid w:val="5D4F09E3"/>
    <w:rsid w:val="5D6B4785"/>
    <w:rsid w:val="5D6B5A2D"/>
    <w:rsid w:val="5D6B5E0F"/>
    <w:rsid w:val="5D7B4D2A"/>
    <w:rsid w:val="5D7E1EF5"/>
    <w:rsid w:val="5D835C79"/>
    <w:rsid w:val="5D954A41"/>
    <w:rsid w:val="5D987D2E"/>
    <w:rsid w:val="5DA027BD"/>
    <w:rsid w:val="5DB91EFB"/>
    <w:rsid w:val="5DBB075B"/>
    <w:rsid w:val="5DBE78AC"/>
    <w:rsid w:val="5DD33F23"/>
    <w:rsid w:val="5DD6730C"/>
    <w:rsid w:val="5DDF28F1"/>
    <w:rsid w:val="5DDF31AF"/>
    <w:rsid w:val="5DE261ED"/>
    <w:rsid w:val="5DF32663"/>
    <w:rsid w:val="5DF410A4"/>
    <w:rsid w:val="5DF67128"/>
    <w:rsid w:val="5E110E6E"/>
    <w:rsid w:val="5E192F42"/>
    <w:rsid w:val="5E1B68C9"/>
    <w:rsid w:val="5E1D30AA"/>
    <w:rsid w:val="5E1F62B9"/>
    <w:rsid w:val="5E400079"/>
    <w:rsid w:val="5E426920"/>
    <w:rsid w:val="5E4F31FB"/>
    <w:rsid w:val="5E51049E"/>
    <w:rsid w:val="5E561735"/>
    <w:rsid w:val="5E563FB7"/>
    <w:rsid w:val="5E6005BC"/>
    <w:rsid w:val="5E634C94"/>
    <w:rsid w:val="5E6B3546"/>
    <w:rsid w:val="5E6D00AA"/>
    <w:rsid w:val="5E7251CC"/>
    <w:rsid w:val="5E84148A"/>
    <w:rsid w:val="5E9A6B1B"/>
    <w:rsid w:val="5EA143BA"/>
    <w:rsid w:val="5EA2657A"/>
    <w:rsid w:val="5EA508AC"/>
    <w:rsid w:val="5EB67148"/>
    <w:rsid w:val="5EBA620E"/>
    <w:rsid w:val="5EC27726"/>
    <w:rsid w:val="5EC7228F"/>
    <w:rsid w:val="5ECF71AE"/>
    <w:rsid w:val="5EDB69B7"/>
    <w:rsid w:val="5EE07006"/>
    <w:rsid w:val="5EE33D17"/>
    <w:rsid w:val="5EF761F3"/>
    <w:rsid w:val="5F1B64C6"/>
    <w:rsid w:val="5F221C3E"/>
    <w:rsid w:val="5F301301"/>
    <w:rsid w:val="5F36122C"/>
    <w:rsid w:val="5F3E613E"/>
    <w:rsid w:val="5F401BEC"/>
    <w:rsid w:val="5F4540D7"/>
    <w:rsid w:val="5F455FE7"/>
    <w:rsid w:val="5F532C87"/>
    <w:rsid w:val="5F547C0A"/>
    <w:rsid w:val="5F58601A"/>
    <w:rsid w:val="5F5C6072"/>
    <w:rsid w:val="5F5E76A9"/>
    <w:rsid w:val="5F5F28F9"/>
    <w:rsid w:val="5F686C84"/>
    <w:rsid w:val="5F6C272A"/>
    <w:rsid w:val="5F6D0B5F"/>
    <w:rsid w:val="5F6E034C"/>
    <w:rsid w:val="5F7212BD"/>
    <w:rsid w:val="5F7F0784"/>
    <w:rsid w:val="5F843980"/>
    <w:rsid w:val="5F8B3F5E"/>
    <w:rsid w:val="5F9054D0"/>
    <w:rsid w:val="5F9B7833"/>
    <w:rsid w:val="5F9D1083"/>
    <w:rsid w:val="5FA8351E"/>
    <w:rsid w:val="5FAC6303"/>
    <w:rsid w:val="5FB6008E"/>
    <w:rsid w:val="5FB92686"/>
    <w:rsid w:val="5FBB33AA"/>
    <w:rsid w:val="5FBB4279"/>
    <w:rsid w:val="5FC3150A"/>
    <w:rsid w:val="5FD023C9"/>
    <w:rsid w:val="5FD35AED"/>
    <w:rsid w:val="5FD83D99"/>
    <w:rsid w:val="5FE62DAC"/>
    <w:rsid w:val="5FEE681B"/>
    <w:rsid w:val="5FF5731A"/>
    <w:rsid w:val="602A0639"/>
    <w:rsid w:val="60376A31"/>
    <w:rsid w:val="60456F19"/>
    <w:rsid w:val="604B4E42"/>
    <w:rsid w:val="606E36BF"/>
    <w:rsid w:val="60753009"/>
    <w:rsid w:val="60817AA5"/>
    <w:rsid w:val="608B4019"/>
    <w:rsid w:val="60AB3460"/>
    <w:rsid w:val="60C6026F"/>
    <w:rsid w:val="60C84A91"/>
    <w:rsid w:val="60D21CA8"/>
    <w:rsid w:val="60D6288B"/>
    <w:rsid w:val="60DB11E7"/>
    <w:rsid w:val="60DC3C9A"/>
    <w:rsid w:val="60E90AE3"/>
    <w:rsid w:val="60F1487F"/>
    <w:rsid w:val="60F2617D"/>
    <w:rsid w:val="60F30B92"/>
    <w:rsid w:val="60FB2750"/>
    <w:rsid w:val="61013FB5"/>
    <w:rsid w:val="610A5928"/>
    <w:rsid w:val="610E7165"/>
    <w:rsid w:val="612028B8"/>
    <w:rsid w:val="61204EA2"/>
    <w:rsid w:val="6134279A"/>
    <w:rsid w:val="61367C5D"/>
    <w:rsid w:val="613A1E10"/>
    <w:rsid w:val="61462C10"/>
    <w:rsid w:val="61533EC7"/>
    <w:rsid w:val="61540563"/>
    <w:rsid w:val="6162503F"/>
    <w:rsid w:val="61662490"/>
    <w:rsid w:val="61766DEF"/>
    <w:rsid w:val="617862A6"/>
    <w:rsid w:val="617B3545"/>
    <w:rsid w:val="617F280C"/>
    <w:rsid w:val="61827DC9"/>
    <w:rsid w:val="6196185F"/>
    <w:rsid w:val="619833A2"/>
    <w:rsid w:val="61AA6B5F"/>
    <w:rsid w:val="61AA79DA"/>
    <w:rsid w:val="61AB0E13"/>
    <w:rsid w:val="61B073E7"/>
    <w:rsid w:val="61B518DA"/>
    <w:rsid w:val="61BA3C6C"/>
    <w:rsid w:val="61BD176F"/>
    <w:rsid w:val="61BF57D9"/>
    <w:rsid w:val="61C34F74"/>
    <w:rsid w:val="61D26294"/>
    <w:rsid w:val="61D77D9B"/>
    <w:rsid w:val="61DA1419"/>
    <w:rsid w:val="61DF3140"/>
    <w:rsid w:val="61E01CE3"/>
    <w:rsid w:val="61E30D48"/>
    <w:rsid w:val="61E90B8B"/>
    <w:rsid w:val="61ED09E7"/>
    <w:rsid w:val="61F0637A"/>
    <w:rsid w:val="61F06BFC"/>
    <w:rsid w:val="61FA3D91"/>
    <w:rsid w:val="61FB28A0"/>
    <w:rsid w:val="61FD0F2B"/>
    <w:rsid w:val="61FD6148"/>
    <w:rsid w:val="62006151"/>
    <w:rsid w:val="622D49CB"/>
    <w:rsid w:val="622E5BCD"/>
    <w:rsid w:val="62305F47"/>
    <w:rsid w:val="6232206D"/>
    <w:rsid w:val="62346415"/>
    <w:rsid w:val="623822B7"/>
    <w:rsid w:val="62382DA1"/>
    <w:rsid w:val="623F7711"/>
    <w:rsid w:val="62440070"/>
    <w:rsid w:val="62482241"/>
    <w:rsid w:val="624A4DE0"/>
    <w:rsid w:val="62512A89"/>
    <w:rsid w:val="62532472"/>
    <w:rsid w:val="62543DAE"/>
    <w:rsid w:val="6269209E"/>
    <w:rsid w:val="62692EF7"/>
    <w:rsid w:val="6275280C"/>
    <w:rsid w:val="62762E44"/>
    <w:rsid w:val="6278783E"/>
    <w:rsid w:val="627B0FB6"/>
    <w:rsid w:val="627D3093"/>
    <w:rsid w:val="628B7A72"/>
    <w:rsid w:val="628C041B"/>
    <w:rsid w:val="628E5765"/>
    <w:rsid w:val="62931338"/>
    <w:rsid w:val="62967FAC"/>
    <w:rsid w:val="62B34AE4"/>
    <w:rsid w:val="62B845D9"/>
    <w:rsid w:val="62CA2457"/>
    <w:rsid w:val="62CE60C8"/>
    <w:rsid w:val="62D11F42"/>
    <w:rsid w:val="62DA3C71"/>
    <w:rsid w:val="62E332FC"/>
    <w:rsid w:val="62F50832"/>
    <w:rsid w:val="6301279D"/>
    <w:rsid w:val="63155188"/>
    <w:rsid w:val="63162352"/>
    <w:rsid w:val="631D0822"/>
    <w:rsid w:val="631F534C"/>
    <w:rsid w:val="63372745"/>
    <w:rsid w:val="636F2DC7"/>
    <w:rsid w:val="637709F7"/>
    <w:rsid w:val="63784AB2"/>
    <w:rsid w:val="637C7274"/>
    <w:rsid w:val="638A351B"/>
    <w:rsid w:val="638B4552"/>
    <w:rsid w:val="63941851"/>
    <w:rsid w:val="63991ED5"/>
    <w:rsid w:val="639E00C0"/>
    <w:rsid w:val="639E22C8"/>
    <w:rsid w:val="63A20FAD"/>
    <w:rsid w:val="63B907F2"/>
    <w:rsid w:val="63C45C93"/>
    <w:rsid w:val="63C561A1"/>
    <w:rsid w:val="63C96D15"/>
    <w:rsid w:val="63D85ECD"/>
    <w:rsid w:val="63DB0215"/>
    <w:rsid w:val="63DD0C00"/>
    <w:rsid w:val="63E640E1"/>
    <w:rsid w:val="63EF7194"/>
    <w:rsid w:val="63F94B89"/>
    <w:rsid w:val="640049AA"/>
    <w:rsid w:val="64420F64"/>
    <w:rsid w:val="64462EC4"/>
    <w:rsid w:val="645520F4"/>
    <w:rsid w:val="64591EA2"/>
    <w:rsid w:val="645C49D1"/>
    <w:rsid w:val="645D176B"/>
    <w:rsid w:val="64753243"/>
    <w:rsid w:val="64780B23"/>
    <w:rsid w:val="647F4E15"/>
    <w:rsid w:val="64845986"/>
    <w:rsid w:val="64873E59"/>
    <w:rsid w:val="648D037B"/>
    <w:rsid w:val="649C32FF"/>
    <w:rsid w:val="64AB560C"/>
    <w:rsid w:val="64BF6F0B"/>
    <w:rsid w:val="64C218D0"/>
    <w:rsid w:val="64C7136F"/>
    <w:rsid w:val="64CE7118"/>
    <w:rsid w:val="64D21153"/>
    <w:rsid w:val="64DF32C0"/>
    <w:rsid w:val="64E665B9"/>
    <w:rsid w:val="64EB0E46"/>
    <w:rsid w:val="64EF1AC4"/>
    <w:rsid w:val="64F54E3B"/>
    <w:rsid w:val="64F57848"/>
    <w:rsid w:val="64FD1B3B"/>
    <w:rsid w:val="650C1617"/>
    <w:rsid w:val="65100F1D"/>
    <w:rsid w:val="65126FED"/>
    <w:rsid w:val="651A3000"/>
    <w:rsid w:val="651B475E"/>
    <w:rsid w:val="651D3C08"/>
    <w:rsid w:val="65293890"/>
    <w:rsid w:val="652B0006"/>
    <w:rsid w:val="65305872"/>
    <w:rsid w:val="653602C2"/>
    <w:rsid w:val="65412835"/>
    <w:rsid w:val="65456645"/>
    <w:rsid w:val="65463254"/>
    <w:rsid w:val="654C00BF"/>
    <w:rsid w:val="6557556A"/>
    <w:rsid w:val="655F10EB"/>
    <w:rsid w:val="6564220A"/>
    <w:rsid w:val="656E452F"/>
    <w:rsid w:val="6571581F"/>
    <w:rsid w:val="65746578"/>
    <w:rsid w:val="65855F35"/>
    <w:rsid w:val="65911FAA"/>
    <w:rsid w:val="65A46E81"/>
    <w:rsid w:val="65AD3015"/>
    <w:rsid w:val="65B522CB"/>
    <w:rsid w:val="65B858A7"/>
    <w:rsid w:val="65CE311C"/>
    <w:rsid w:val="65CF5CD5"/>
    <w:rsid w:val="65D42E17"/>
    <w:rsid w:val="65E36C95"/>
    <w:rsid w:val="65EB2A21"/>
    <w:rsid w:val="65F80B93"/>
    <w:rsid w:val="65FD54A8"/>
    <w:rsid w:val="65FF2037"/>
    <w:rsid w:val="660021E6"/>
    <w:rsid w:val="66135827"/>
    <w:rsid w:val="66272777"/>
    <w:rsid w:val="66321656"/>
    <w:rsid w:val="66357FBB"/>
    <w:rsid w:val="664117C7"/>
    <w:rsid w:val="66477ADD"/>
    <w:rsid w:val="664A7597"/>
    <w:rsid w:val="6650509E"/>
    <w:rsid w:val="66535390"/>
    <w:rsid w:val="66564C61"/>
    <w:rsid w:val="665653A5"/>
    <w:rsid w:val="665B4404"/>
    <w:rsid w:val="665C47D7"/>
    <w:rsid w:val="666E6666"/>
    <w:rsid w:val="667846A5"/>
    <w:rsid w:val="66891180"/>
    <w:rsid w:val="668B01C6"/>
    <w:rsid w:val="66967735"/>
    <w:rsid w:val="66A84A42"/>
    <w:rsid w:val="66BE501B"/>
    <w:rsid w:val="66C81761"/>
    <w:rsid w:val="66D739BA"/>
    <w:rsid w:val="66DD6FED"/>
    <w:rsid w:val="66E13B5F"/>
    <w:rsid w:val="66F0031E"/>
    <w:rsid w:val="670656E2"/>
    <w:rsid w:val="6707271D"/>
    <w:rsid w:val="670D2D96"/>
    <w:rsid w:val="6719323F"/>
    <w:rsid w:val="671A1AB5"/>
    <w:rsid w:val="672B4442"/>
    <w:rsid w:val="672E6EFA"/>
    <w:rsid w:val="673C7098"/>
    <w:rsid w:val="674229FA"/>
    <w:rsid w:val="674A563D"/>
    <w:rsid w:val="676E6FB0"/>
    <w:rsid w:val="6775609A"/>
    <w:rsid w:val="67765D7D"/>
    <w:rsid w:val="677A1AA4"/>
    <w:rsid w:val="678C3BA1"/>
    <w:rsid w:val="679F4FB2"/>
    <w:rsid w:val="67A65C41"/>
    <w:rsid w:val="67AC5BA6"/>
    <w:rsid w:val="67B46E8F"/>
    <w:rsid w:val="67B47B20"/>
    <w:rsid w:val="67B72093"/>
    <w:rsid w:val="67CB7EA7"/>
    <w:rsid w:val="67D93D37"/>
    <w:rsid w:val="67DC140D"/>
    <w:rsid w:val="67E17AFE"/>
    <w:rsid w:val="67EB3C6D"/>
    <w:rsid w:val="67F12E59"/>
    <w:rsid w:val="67F846C0"/>
    <w:rsid w:val="6800727F"/>
    <w:rsid w:val="680754BD"/>
    <w:rsid w:val="680C40C8"/>
    <w:rsid w:val="68107030"/>
    <w:rsid w:val="681F5B43"/>
    <w:rsid w:val="6823325D"/>
    <w:rsid w:val="682649F2"/>
    <w:rsid w:val="682A36FD"/>
    <w:rsid w:val="682B0680"/>
    <w:rsid w:val="684533AA"/>
    <w:rsid w:val="684B2C19"/>
    <w:rsid w:val="68682205"/>
    <w:rsid w:val="686B0151"/>
    <w:rsid w:val="686B5B0A"/>
    <w:rsid w:val="68783D37"/>
    <w:rsid w:val="689658D0"/>
    <w:rsid w:val="689A5967"/>
    <w:rsid w:val="689C0522"/>
    <w:rsid w:val="68A1372E"/>
    <w:rsid w:val="68A51371"/>
    <w:rsid w:val="68BE7C95"/>
    <w:rsid w:val="68BF0811"/>
    <w:rsid w:val="68E348BF"/>
    <w:rsid w:val="68F46782"/>
    <w:rsid w:val="69022254"/>
    <w:rsid w:val="69101DEF"/>
    <w:rsid w:val="691243B2"/>
    <w:rsid w:val="691B0102"/>
    <w:rsid w:val="691C4CDA"/>
    <w:rsid w:val="691C6D18"/>
    <w:rsid w:val="69211A1E"/>
    <w:rsid w:val="692323C4"/>
    <w:rsid w:val="692958F4"/>
    <w:rsid w:val="692B2BC8"/>
    <w:rsid w:val="692D142E"/>
    <w:rsid w:val="69425516"/>
    <w:rsid w:val="69443584"/>
    <w:rsid w:val="694A4ECE"/>
    <w:rsid w:val="694B5DEE"/>
    <w:rsid w:val="694C6048"/>
    <w:rsid w:val="69515C78"/>
    <w:rsid w:val="69593662"/>
    <w:rsid w:val="696D64D6"/>
    <w:rsid w:val="697047D3"/>
    <w:rsid w:val="69861228"/>
    <w:rsid w:val="69870729"/>
    <w:rsid w:val="698C3134"/>
    <w:rsid w:val="698D00A5"/>
    <w:rsid w:val="699742CF"/>
    <w:rsid w:val="69985D1C"/>
    <w:rsid w:val="69AD0C1F"/>
    <w:rsid w:val="69B14696"/>
    <w:rsid w:val="69B3232E"/>
    <w:rsid w:val="69BA4342"/>
    <w:rsid w:val="69BC00F1"/>
    <w:rsid w:val="69BE4AC0"/>
    <w:rsid w:val="69C162A1"/>
    <w:rsid w:val="69D17A6C"/>
    <w:rsid w:val="69E946B3"/>
    <w:rsid w:val="69F968BE"/>
    <w:rsid w:val="69FB4324"/>
    <w:rsid w:val="6A1D346B"/>
    <w:rsid w:val="6A2030B4"/>
    <w:rsid w:val="6A244FBC"/>
    <w:rsid w:val="6A465B3A"/>
    <w:rsid w:val="6A620A51"/>
    <w:rsid w:val="6A732E35"/>
    <w:rsid w:val="6A820325"/>
    <w:rsid w:val="6A820624"/>
    <w:rsid w:val="6A914C62"/>
    <w:rsid w:val="6A9C5AA5"/>
    <w:rsid w:val="6A9D23D9"/>
    <w:rsid w:val="6AAF0FEA"/>
    <w:rsid w:val="6AB44A22"/>
    <w:rsid w:val="6ABB1C62"/>
    <w:rsid w:val="6ABB59E9"/>
    <w:rsid w:val="6AC30D4B"/>
    <w:rsid w:val="6AC60054"/>
    <w:rsid w:val="6AC862FF"/>
    <w:rsid w:val="6ADF5CFE"/>
    <w:rsid w:val="6AE567C8"/>
    <w:rsid w:val="6AE6776A"/>
    <w:rsid w:val="6AEC4B81"/>
    <w:rsid w:val="6AF268C4"/>
    <w:rsid w:val="6AF61350"/>
    <w:rsid w:val="6AFA0250"/>
    <w:rsid w:val="6B046E35"/>
    <w:rsid w:val="6B0751AF"/>
    <w:rsid w:val="6B142A44"/>
    <w:rsid w:val="6B2162D5"/>
    <w:rsid w:val="6B291A17"/>
    <w:rsid w:val="6B2D5C67"/>
    <w:rsid w:val="6B451562"/>
    <w:rsid w:val="6B4519ED"/>
    <w:rsid w:val="6B4772C2"/>
    <w:rsid w:val="6B546E0C"/>
    <w:rsid w:val="6B55009D"/>
    <w:rsid w:val="6B5D0C6A"/>
    <w:rsid w:val="6B5E4F65"/>
    <w:rsid w:val="6B6E2667"/>
    <w:rsid w:val="6B722505"/>
    <w:rsid w:val="6B9E0BAC"/>
    <w:rsid w:val="6BA158CB"/>
    <w:rsid w:val="6BA62E7A"/>
    <w:rsid w:val="6BAC5EAB"/>
    <w:rsid w:val="6BB176A7"/>
    <w:rsid w:val="6BBF6FDA"/>
    <w:rsid w:val="6BD26163"/>
    <w:rsid w:val="6BDD2E76"/>
    <w:rsid w:val="6BDE259F"/>
    <w:rsid w:val="6BEA3B4F"/>
    <w:rsid w:val="6BEA41CC"/>
    <w:rsid w:val="6BF932AA"/>
    <w:rsid w:val="6BF93D15"/>
    <w:rsid w:val="6BFF01AE"/>
    <w:rsid w:val="6C011E15"/>
    <w:rsid w:val="6C0A5BD8"/>
    <w:rsid w:val="6C1E0381"/>
    <w:rsid w:val="6C2632EE"/>
    <w:rsid w:val="6C2A48F9"/>
    <w:rsid w:val="6C2B7788"/>
    <w:rsid w:val="6C2D7307"/>
    <w:rsid w:val="6C332404"/>
    <w:rsid w:val="6C3543CF"/>
    <w:rsid w:val="6C361AAA"/>
    <w:rsid w:val="6C382B1F"/>
    <w:rsid w:val="6C3C7CD7"/>
    <w:rsid w:val="6C49559F"/>
    <w:rsid w:val="6C4E4D77"/>
    <w:rsid w:val="6C5D2A45"/>
    <w:rsid w:val="6C652E17"/>
    <w:rsid w:val="6C773E2C"/>
    <w:rsid w:val="6C8363B8"/>
    <w:rsid w:val="6C866F5D"/>
    <w:rsid w:val="6C8A336B"/>
    <w:rsid w:val="6C8B25F7"/>
    <w:rsid w:val="6CB57DCB"/>
    <w:rsid w:val="6CB764D9"/>
    <w:rsid w:val="6CB861AD"/>
    <w:rsid w:val="6CBA46FF"/>
    <w:rsid w:val="6CC71FBE"/>
    <w:rsid w:val="6CCC0AEF"/>
    <w:rsid w:val="6CCE7E34"/>
    <w:rsid w:val="6CD968A6"/>
    <w:rsid w:val="6CDE0E9E"/>
    <w:rsid w:val="6CE56894"/>
    <w:rsid w:val="6CFC30D1"/>
    <w:rsid w:val="6CFD6256"/>
    <w:rsid w:val="6D0E556D"/>
    <w:rsid w:val="6D13542B"/>
    <w:rsid w:val="6D1C0113"/>
    <w:rsid w:val="6D37028D"/>
    <w:rsid w:val="6D4E0F7C"/>
    <w:rsid w:val="6D656554"/>
    <w:rsid w:val="6D8F6725"/>
    <w:rsid w:val="6D9062DF"/>
    <w:rsid w:val="6DAD560A"/>
    <w:rsid w:val="6DB51D94"/>
    <w:rsid w:val="6DC14F44"/>
    <w:rsid w:val="6DC24D97"/>
    <w:rsid w:val="6DC73B86"/>
    <w:rsid w:val="6DCD4C01"/>
    <w:rsid w:val="6DD100DC"/>
    <w:rsid w:val="6DED03CA"/>
    <w:rsid w:val="6E051ED1"/>
    <w:rsid w:val="6E0820F4"/>
    <w:rsid w:val="6E101829"/>
    <w:rsid w:val="6E2A4AAA"/>
    <w:rsid w:val="6E2D2630"/>
    <w:rsid w:val="6E305B37"/>
    <w:rsid w:val="6E4230B7"/>
    <w:rsid w:val="6E45183E"/>
    <w:rsid w:val="6E482CC7"/>
    <w:rsid w:val="6E492C37"/>
    <w:rsid w:val="6E4A2414"/>
    <w:rsid w:val="6E4A3937"/>
    <w:rsid w:val="6E640C7A"/>
    <w:rsid w:val="6E6432F7"/>
    <w:rsid w:val="6E6D03A6"/>
    <w:rsid w:val="6E7917B0"/>
    <w:rsid w:val="6E797428"/>
    <w:rsid w:val="6E985F56"/>
    <w:rsid w:val="6E9B0280"/>
    <w:rsid w:val="6E9B4046"/>
    <w:rsid w:val="6E9B6602"/>
    <w:rsid w:val="6ECD2D52"/>
    <w:rsid w:val="6ED52AF2"/>
    <w:rsid w:val="6F065EA7"/>
    <w:rsid w:val="6F0E7323"/>
    <w:rsid w:val="6F1A48E9"/>
    <w:rsid w:val="6F262B19"/>
    <w:rsid w:val="6F2B621C"/>
    <w:rsid w:val="6F32265D"/>
    <w:rsid w:val="6F332646"/>
    <w:rsid w:val="6F39653F"/>
    <w:rsid w:val="6F491EB4"/>
    <w:rsid w:val="6F5837A9"/>
    <w:rsid w:val="6F616260"/>
    <w:rsid w:val="6F6E10DA"/>
    <w:rsid w:val="6F795C62"/>
    <w:rsid w:val="6F7F6578"/>
    <w:rsid w:val="6F833207"/>
    <w:rsid w:val="6F840449"/>
    <w:rsid w:val="6F8732C1"/>
    <w:rsid w:val="6F8A4E10"/>
    <w:rsid w:val="6F8F2D08"/>
    <w:rsid w:val="6F9A7102"/>
    <w:rsid w:val="6F9D1253"/>
    <w:rsid w:val="6FAD103B"/>
    <w:rsid w:val="6FAD134C"/>
    <w:rsid w:val="6FB267AF"/>
    <w:rsid w:val="6FBC0412"/>
    <w:rsid w:val="6FC10102"/>
    <w:rsid w:val="6FC3103E"/>
    <w:rsid w:val="6FD749FC"/>
    <w:rsid w:val="6FE303D0"/>
    <w:rsid w:val="6FEA423A"/>
    <w:rsid w:val="6FF73B3A"/>
    <w:rsid w:val="6FFA55CE"/>
    <w:rsid w:val="7010231C"/>
    <w:rsid w:val="701C5C35"/>
    <w:rsid w:val="701D1A84"/>
    <w:rsid w:val="701F4D33"/>
    <w:rsid w:val="702E25B2"/>
    <w:rsid w:val="70332B61"/>
    <w:rsid w:val="70336F8A"/>
    <w:rsid w:val="70484CC9"/>
    <w:rsid w:val="704851DC"/>
    <w:rsid w:val="704B11DA"/>
    <w:rsid w:val="70550AC7"/>
    <w:rsid w:val="70553849"/>
    <w:rsid w:val="70570B3B"/>
    <w:rsid w:val="70692A7C"/>
    <w:rsid w:val="70853BC1"/>
    <w:rsid w:val="709140AC"/>
    <w:rsid w:val="7094012C"/>
    <w:rsid w:val="70A07CAB"/>
    <w:rsid w:val="70B622AD"/>
    <w:rsid w:val="70C223FF"/>
    <w:rsid w:val="70C82AC2"/>
    <w:rsid w:val="70CF3917"/>
    <w:rsid w:val="70E75E9A"/>
    <w:rsid w:val="70EA2CAB"/>
    <w:rsid w:val="70FA30D4"/>
    <w:rsid w:val="71062AF2"/>
    <w:rsid w:val="710A7B6C"/>
    <w:rsid w:val="71116CB6"/>
    <w:rsid w:val="71176CC1"/>
    <w:rsid w:val="71310605"/>
    <w:rsid w:val="71323B08"/>
    <w:rsid w:val="71357EB6"/>
    <w:rsid w:val="713E7667"/>
    <w:rsid w:val="71402E5D"/>
    <w:rsid w:val="71422D22"/>
    <w:rsid w:val="71545283"/>
    <w:rsid w:val="71760945"/>
    <w:rsid w:val="71886A27"/>
    <w:rsid w:val="718B714F"/>
    <w:rsid w:val="718D2C26"/>
    <w:rsid w:val="71906823"/>
    <w:rsid w:val="719623E7"/>
    <w:rsid w:val="71967F8D"/>
    <w:rsid w:val="7197197B"/>
    <w:rsid w:val="71AC6E1A"/>
    <w:rsid w:val="71B63C94"/>
    <w:rsid w:val="71B63E07"/>
    <w:rsid w:val="71C424DF"/>
    <w:rsid w:val="71C86D23"/>
    <w:rsid w:val="71E47A96"/>
    <w:rsid w:val="71EE59E4"/>
    <w:rsid w:val="71EF34C5"/>
    <w:rsid w:val="71EF73F2"/>
    <w:rsid w:val="71F11CF3"/>
    <w:rsid w:val="71F22B57"/>
    <w:rsid w:val="72106446"/>
    <w:rsid w:val="721A500C"/>
    <w:rsid w:val="72200367"/>
    <w:rsid w:val="722B0404"/>
    <w:rsid w:val="722B7A1A"/>
    <w:rsid w:val="72314527"/>
    <w:rsid w:val="7248114A"/>
    <w:rsid w:val="724D15A2"/>
    <w:rsid w:val="724E1EFE"/>
    <w:rsid w:val="724E7B4C"/>
    <w:rsid w:val="724F4A23"/>
    <w:rsid w:val="72675678"/>
    <w:rsid w:val="726B4C9A"/>
    <w:rsid w:val="72850AFC"/>
    <w:rsid w:val="72852EFE"/>
    <w:rsid w:val="728E1BA5"/>
    <w:rsid w:val="728F583E"/>
    <w:rsid w:val="72912304"/>
    <w:rsid w:val="72A00E27"/>
    <w:rsid w:val="72A743BF"/>
    <w:rsid w:val="72A8494E"/>
    <w:rsid w:val="72A95201"/>
    <w:rsid w:val="72AB3991"/>
    <w:rsid w:val="72C921DE"/>
    <w:rsid w:val="72C93066"/>
    <w:rsid w:val="72C96C51"/>
    <w:rsid w:val="72CA0DCD"/>
    <w:rsid w:val="72CC473E"/>
    <w:rsid w:val="72DE4E2F"/>
    <w:rsid w:val="72EA2B56"/>
    <w:rsid w:val="72EC5257"/>
    <w:rsid w:val="72F3276A"/>
    <w:rsid w:val="72FB5792"/>
    <w:rsid w:val="72FF091A"/>
    <w:rsid w:val="73057FED"/>
    <w:rsid w:val="730D780E"/>
    <w:rsid w:val="73103829"/>
    <w:rsid w:val="731D39F7"/>
    <w:rsid w:val="73253E1F"/>
    <w:rsid w:val="73260322"/>
    <w:rsid w:val="732F0F59"/>
    <w:rsid w:val="733F4193"/>
    <w:rsid w:val="735141B0"/>
    <w:rsid w:val="73525D5C"/>
    <w:rsid w:val="73573642"/>
    <w:rsid w:val="735E5DA3"/>
    <w:rsid w:val="736772A3"/>
    <w:rsid w:val="738C059B"/>
    <w:rsid w:val="738F23FD"/>
    <w:rsid w:val="73913E5C"/>
    <w:rsid w:val="73A00A96"/>
    <w:rsid w:val="73A56C04"/>
    <w:rsid w:val="73AF0C64"/>
    <w:rsid w:val="73AF4853"/>
    <w:rsid w:val="73BB0C23"/>
    <w:rsid w:val="73CF02B4"/>
    <w:rsid w:val="73CF295D"/>
    <w:rsid w:val="73DB3596"/>
    <w:rsid w:val="73EF78D5"/>
    <w:rsid w:val="73F26651"/>
    <w:rsid w:val="73FF2563"/>
    <w:rsid w:val="740C60E0"/>
    <w:rsid w:val="740F11C3"/>
    <w:rsid w:val="740F6827"/>
    <w:rsid w:val="74106FC0"/>
    <w:rsid w:val="74117FD6"/>
    <w:rsid w:val="74161D97"/>
    <w:rsid w:val="741B6FA8"/>
    <w:rsid w:val="74243C65"/>
    <w:rsid w:val="742860A8"/>
    <w:rsid w:val="742D38F2"/>
    <w:rsid w:val="745D1494"/>
    <w:rsid w:val="74606066"/>
    <w:rsid w:val="746E0835"/>
    <w:rsid w:val="7471161F"/>
    <w:rsid w:val="7477181F"/>
    <w:rsid w:val="74792329"/>
    <w:rsid w:val="747A65E4"/>
    <w:rsid w:val="74A80307"/>
    <w:rsid w:val="74AF5980"/>
    <w:rsid w:val="74B43D93"/>
    <w:rsid w:val="74B64633"/>
    <w:rsid w:val="74C070C3"/>
    <w:rsid w:val="74D46F40"/>
    <w:rsid w:val="74D7036B"/>
    <w:rsid w:val="74D91F64"/>
    <w:rsid w:val="74DE4C3A"/>
    <w:rsid w:val="74E26CCF"/>
    <w:rsid w:val="74F66B8D"/>
    <w:rsid w:val="75160902"/>
    <w:rsid w:val="752C5050"/>
    <w:rsid w:val="752F4FF0"/>
    <w:rsid w:val="75693CF3"/>
    <w:rsid w:val="75703F7B"/>
    <w:rsid w:val="75754C85"/>
    <w:rsid w:val="758F5F98"/>
    <w:rsid w:val="75A569A6"/>
    <w:rsid w:val="75AC2810"/>
    <w:rsid w:val="75BE4FA7"/>
    <w:rsid w:val="75C63B06"/>
    <w:rsid w:val="75E041A1"/>
    <w:rsid w:val="75EE2237"/>
    <w:rsid w:val="75F64DD2"/>
    <w:rsid w:val="75FD79C6"/>
    <w:rsid w:val="75FF48CB"/>
    <w:rsid w:val="76112C07"/>
    <w:rsid w:val="76114388"/>
    <w:rsid w:val="76133104"/>
    <w:rsid w:val="7616147C"/>
    <w:rsid w:val="761758E3"/>
    <w:rsid w:val="76223E8A"/>
    <w:rsid w:val="76270DDB"/>
    <w:rsid w:val="76344A5C"/>
    <w:rsid w:val="76485A51"/>
    <w:rsid w:val="7649176F"/>
    <w:rsid w:val="764A5C0C"/>
    <w:rsid w:val="765D3EA1"/>
    <w:rsid w:val="765D4760"/>
    <w:rsid w:val="76662005"/>
    <w:rsid w:val="766E7A97"/>
    <w:rsid w:val="76774127"/>
    <w:rsid w:val="76877FFB"/>
    <w:rsid w:val="768C2614"/>
    <w:rsid w:val="768C36B4"/>
    <w:rsid w:val="7691216D"/>
    <w:rsid w:val="769B41CA"/>
    <w:rsid w:val="769D139B"/>
    <w:rsid w:val="76BC5AD4"/>
    <w:rsid w:val="76C93D23"/>
    <w:rsid w:val="76CD4BE9"/>
    <w:rsid w:val="76EA34C9"/>
    <w:rsid w:val="76EB442F"/>
    <w:rsid w:val="76FA6788"/>
    <w:rsid w:val="76FD2155"/>
    <w:rsid w:val="76FD48DF"/>
    <w:rsid w:val="77021763"/>
    <w:rsid w:val="77021A83"/>
    <w:rsid w:val="771C7E9B"/>
    <w:rsid w:val="772D177F"/>
    <w:rsid w:val="772E4452"/>
    <w:rsid w:val="77335F4C"/>
    <w:rsid w:val="7753168A"/>
    <w:rsid w:val="77572CBA"/>
    <w:rsid w:val="77687581"/>
    <w:rsid w:val="776F15ED"/>
    <w:rsid w:val="7774104E"/>
    <w:rsid w:val="777B5235"/>
    <w:rsid w:val="77987415"/>
    <w:rsid w:val="77AC4AB2"/>
    <w:rsid w:val="77AF3B62"/>
    <w:rsid w:val="77BD5387"/>
    <w:rsid w:val="77C7378B"/>
    <w:rsid w:val="77C92CE4"/>
    <w:rsid w:val="77D2030D"/>
    <w:rsid w:val="77D82D17"/>
    <w:rsid w:val="77DB02EC"/>
    <w:rsid w:val="77E72A7C"/>
    <w:rsid w:val="77E741E1"/>
    <w:rsid w:val="77EA52B3"/>
    <w:rsid w:val="77EA6AB6"/>
    <w:rsid w:val="7810397E"/>
    <w:rsid w:val="78167E7B"/>
    <w:rsid w:val="782B0994"/>
    <w:rsid w:val="783C1C1E"/>
    <w:rsid w:val="783C561B"/>
    <w:rsid w:val="7843760D"/>
    <w:rsid w:val="78466365"/>
    <w:rsid w:val="78626645"/>
    <w:rsid w:val="78725623"/>
    <w:rsid w:val="787A1E50"/>
    <w:rsid w:val="78837617"/>
    <w:rsid w:val="78892365"/>
    <w:rsid w:val="788C4E18"/>
    <w:rsid w:val="788D6963"/>
    <w:rsid w:val="789A6A69"/>
    <w:rsid w:val="789B66D2"/>
    <w:rsid w:val="789D660F"/>
    <w:rsid w:val="78A75D2F"/>
    <w:rsid w:val="78B70B03"/>
    <w:rsid w:val="78BD3BD9"/>
    <w:rsid w:val="78C21144"/>
    <w:rsid w:val="78DC0EFF"/>
    <w:rsid w:val="78DF05D8"/>
    <w:rsid w:val="78FB1C1D"/>
    <w:rsid w:val="790910BE"/>
    <w:rsid w:val="790A062B"/>
    <w:rsid w:val="790C33C2"/>
    <w:rsid w:val="790D0823"/>
    <w:rsid w:val="7913502C"/>
    <w:rsid w:val="792905B4"/>
    <w:rsid w:val="792C2A07"/>
    <w:rsid w:val="79322242"/>
    <w:rsid w:val="794E0F90"/>
    <w:rsid w:val="795767B8"/>
    <w:rsid w:val="796F057D"/>
    <w:rsid w:val="797106F8"/>
    <w:rsid w:val="7976021A"/>
    <w:rsid w:val="79772B2F"/>
    <w:rsid w:val="797C385B"/>
    <w:rsid w:val="79822DD7"/>
    <w:rsid w:val="798347CB"/>
    <w:rsid w:val="7984203D"/>
    <w:rsid w:val="798D438A"/>
    <w:rsid w:val="79933109"/>
    <w:rsid w:val="79962192"/>
    <w:rsid w:val="79A04216"/>
    <w:rsid w:val="79DD5387"/>
    <w:rsid w:val="79E05940"/>
    <w:rsid w:val="79F33C67"/>
    <w:rsid w:val="79F56EC8"/>
    <w:rsid w:val="79F57C52"/>
    <w:rsid w:val="79FC74D9"/>
    <w:rsid w:val="7A041F5C"/>
    <w:rsid w:val="7A1C003B"/>
    <w:rsid w:val="7A2504BD"/>
    <w:rsid w:val="7A2A3ED6"/>
    <w:rsid w:val="7A2F0BED"/>
    <w:rsid w:val="7A312B2C"/>
    <w:rsid w:val="7A3C60F0"/>
    <w:rsid w:val="7A4030F7"/>
    <w:rsid w:val="7A410E23"/>
    <w:rsid w:val="7A457613"/>
    <w:rsid w:val="7A497ACD"/>
    <w:rsid w:val="7A51103D"/>
    <w:rsid w:val="7A580D91"/>
    <w:rsid w:val="7A5C2184"/>
    <w:rsid w:val="7A5D31E5"/>
    <w:rsid w:val="7A6E794C"/>
    <w:rsid w:val="7A8C217C"/>
    <w:rsid w:val="7A8E09C8"/>
    <w:rsid w:val="7A910D15"/>
    <w:rsid w:val="7A9B7661"/>
    <w:rsid w:val="7AA1529A"/>
    <w:rsid w:val="7AAD54C3"/>
    <w:rsid w:val="7ABE3F54"/>
    <w:rsid w:val="7AC91E03"/>
    <w:rsid w:val="7ACD03DE"/>
    <w:rsid w:val="7AD11C53"/>
    <w:rsid w:val="7AD36647"/>
    <w:rsid w:val="7AD440E2"/>
    <w:rsid w:val="7ADE49EC"/>
    <w:rsid w:val="7AFA6155"/>
    <w:rsid w:val="7AFC34C6"/>
    <w:rsid w:val="7B014647"/>
    <w:rsid w:val="7B077FDC"/>
    <w:rsid w:val="7B134AC0"/>
    <w:rsid w:val="7B1D44FA"/>
    <w:rsid w:val="7B200E8E"/>
    <w:rsid w:val="7B4D75E3"/>
    <w:rsid w:val="7B4F6C9A"/>
    <w:rsid w:val="7B5C39A5"/>
    <w:rsid w:val="7B5E455F"/>
    <w:rsid w:val="7B6B47E5"/>
    <w:rsid w:val="7B786AAF"/>
    <w:rsid w:val="7B865FC9"/>
    <w:rsid w:val="7B936323"/>
    <w:rsid w:val="7B974218"/>
    <w:rsid w:val="7B9929E4"/>
    <w:rsid w:val="7B9D3C28"/>
    <w:rsid w:val="7BA75BD8"/>
    <w:rsid w:val="7BAD2A30"/>
    <w:rsid w:val="7BB47D45"/>
    <w:rsid w:val="7BC7345B"/>
    <w:rsid w:val="7BE153C9"/>
    <w:rsid w:val="7BEB3FE2"/>
    <w:rsid w:val="7BED2359"/>
    <w:rsid w:val="7BFE5CBC"/>
    <w:rsid w:val="7C0C319D"/>
    <w:rsid w:val="7C0D7E34"/>
    <w:rsid w:val="7C1F1395"/>
    <w:rsid w:val="7C2527F5"/>
    <w:rsid w:val="7C2558B3"/>
    <w:rsid w:val="7C3D60C8"/>
    <w:rsid w:val="7C44587E"/>
    <w:rsid w:val="7C5469FD"/>
    <w:rsid w:val="7C5847A4"/>
    <w:rsid w:val="7C585EE1"/>
    <w:rsid w:val="7C625111"/>
    <w:rsid w:val="7C6466A4"/>
    <w:rsid w:val="7C65582F"/>
    <w:rsid w:val="7C712B20"/>
    <w:rsid w:val="7C713F18"/>
    <w:rsid w:val="7C7179A2"/>
    <w:rsid w:val="7C751965"/>
    <w:rsid w:val="7C7C2BEE"/>
    <w:rsid w:val="7C8D1D6A"/>
    <w:rsid w:val="7CA57C7C"/>
    <w:rsid w:val="7CA7412B"/>
    <w:rsid w:val="7CB764CD"/>
    <w:rsid w:val="7CC103A9"/>
    <w:rsid w:val="7CC10694"/>
    <w:rsid w:val="7CD82744"/>
    <w:rsid w:val="7CDC1D57"/>
    <w:rsid w:val="7CE07F35"/>
    <w:rsid w:val="7CF578F1"/>
    <w:rsid w:val="7D0273BD"/>
    <w:rsid w:val="7D032D62"/>
    <w:rsid w:val="7D0730A5"/>
    <w:rsid w:val="7D096EAA"/>
    <w:rsid w:val="7D0C53AA"/>
    <w:rsid w:val="7D0D21BB"/>
    <w:rsid w:val="7D1F7EEB"/>
    <w:rsid w:val="7D211080"/>
    <w:rsid w:val="7D736880"/>
    <w:rsid w:val="7D781222"/>
    <w:rsid w:val="7D785565"/>
    <w:rsid w:val="7D860477"/>
    <w:rsid w:val="7D885A8D"/>
    <w:rsid w:val="7D937A39"/>
    <w:rsid w:val="7D982128"/>
    <w:rsid w:val="7D9D439C"/>
    <w:rsid w:val="7DA530F5"/>
    <w:rsid w:val="7DB33353"/>
    <w:rsid w:val="7DB85567"/>
    <w:rsid w:val="7DC01284"/>
    <w:rsid w:val="7DD13860"/>
    <w:rsid w:val="7DDC1154"/>
    <w:rsid w:val="7DDF01AA"/>
    <w:rsid w:val="7DF60E6A"/>
    <w:rsid w:val="7E0A539A"/>
    <w:rsid w:val="7E125364"/>
    <w:rsid w:val="7E145BDA"/>
    <w:rsid w:val="7E171FD2"/>
    <w:rsid w:val="7E2D2106"/>
    <w:rsid w:val="7E5C7ED0"/>
    <w:rsid w:val="7E617218"/>
    <w:rsid w:val="7E626A3A"/>
    <w:rsid w:val="7E665F3A"/>
    <w:rsid w:val="7E6A0AFD"/>
    <w:rsid w:val="7E9D2E1E"/>
    <w:rsid w:val="7EA02765"/>
    <w:rsid w:val="7EB442B0"/>
    <w:rsid w:val="7EBA2BB4"/>
    <w:rsid w:val="7EBE6423"/>
    <w:rsid w:val="7EC95770"/>
    <w:rsid w:val="7ECB049D"/>
    <w:rsid w:val="7ECE3330"/>
    <w:rsid w:val="7ED16E2C"/>
    <w:rsid w:val="7ED321BD"/>
    <w:rsid w:val="7ED41D25"/>
    <w:rsid w:val="7ED83631"/>
    <w:rsid w:val="7EE4764B"/>
    <w:rsid w:val="7EE577E7"/>
    <w:rsid w:val="7EF30A2B"/>
    <w:rsid w:val="7EFB0756"/>
    <w:rsid w:val="7F0249CA"/>
    <w:rsid w:val="7F026EF2"/>
    <w:rsid w:val="7F0E38EF"/>
    <w:rsid w:val="7F111637"/>
    <w:rsid w:val="7F121E85"/>
    <w:rsid w:val="7F205EAD"/>
    <w:rsid w:val="7F3B1D5C"/>
    <w:rsid w:val="7F405E7D"/>
    <w:rsid w:val="7F441720"/>
    <w:rsid w:val="7F4A38F7"/>
    <w:rsid w:val="7F4B1445"/>
    <w:rsid w:val="7F5271BB"/>
    <w:rsid w:val="7F591FF0"/>
    <w:rsid w:val="7F69792B"/>
    <w:rsid w:val="7F6F53DA"/>
    <w:rsid w:val="7F8C63EB"/>
    <w:rsid w:val="7F8D6DB1"/>
    <w:rsid w:val="7F914748"/>
    <w:rsid w:val="7F9F413B"/>
    <w:rsid w:val="7FA65668"/>
    <w:rsid w:val="7FA83B3A"/>
    <w:rsid w:val="7FAD58ED"/>
    <w:rsid w:val="7FB93810"/>
    <w:rsid w:val="7FCD09F4"/>
    <w:rsid w:val="7FD1070A"/>
    <w:rsid w:val="7FD663BF"/>
    <w:rsid w:val="7FE31C2E"/>
    <w:rsid w:val="7FE70245"/>
    <w:rsid w:val="7FEA1E7A"/>
    <w:rsid w:val="7FF76EB2"/>
    <w:rsid w:val="7FFA4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420" w:firstLineChars="20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qFormat/>
    <w:uiPriority w:val="0"/>
    <w:pPr>
      <w:keepNext/>
      <w:keepLines/>
      <w:spacing w:line="600" w:lineRule="exact"/>
      <w:ind w:firstLine="0" w:firstLineChars="0"/>
      <w:jc w:val="center"/>
      <w:outlineLvl w:val="0"/>
    </w:pPr>
    <w:rPr>
      <w:rFonts w:eastAsia="黑体"/>
      <w:kern w:val="44"/>
    </w:rPr>
  </w:style>
  <w:style w:type="paragraph" w:styleId="5">
    <w:name w:val="heading 2"/>
    <w:basedOn w:val="1"/>
    <w:next w:val="1"/>
    <w:link w:val="24"/>
    <w:qFormat/>
    <w:uiPriority w:val="0"/>
    <w:pPr>
      <w:keepNext/>
      <w:keepLines/>
      <w:ind w:firstLine="0" w:firstLineChars="0"/>
      <w:jc w:val="center"/>
      <w:outlineLvl w:val="1"/>
    </w:pPr>
    <w:rPr>
      <w:rFonts w:ascii="Arial" w:hAnsi="Arial" w:eastAsia="黑体"/>
    </w:rPr>
  </w:style>
  <w:style w:type="paragraph" w:styleId="6">
    <w:name w:val="heading 3"/>
    <w:basedOn w:val="1"/>
    <w:next w:val="1"/>
    <w:qFormat/>
    <w:uiPriority w:val="0"/>
    <w:pPr>
      <w:keepNext/>
      <w:keepLines/>
      <w:outlineLvl w:val="2"/>
    </w:pPr>
    <w:rPr>
      <w:rFonts w:eastAsia="楷体"/>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 21"/>
    <w:basedOn w:val="3"/>
    <w:qFormat/>
    <w:uiPriority w:val="0"/>
    <w:pPr>
      <w:spacing w:line="360" w:lineRule="auto"/>
    </w:pPr>
    <w:rPr>
      <w:rFonts w:eastAsia="宋体"/>
      <w:sz w:val="24"/>
    </w:rPr>
  </w:style>
  <w:style w:type="paragraph" w:customStyle="1" w:styleId="3">
    <w:name w:val="Body Text Indent1"/>
    <w:basedOn w:val="1"/>
    <w:qFormat/>
    <w:uiPriority w:val="0"/>
    <w:pPr>
      <w:spacing w:line="150" w:lineRule="atLeast"/>
      <w:textAlignment w:val="baseline"/>
    </w:pPr>
  </w:style>
  <w:style w:type="paragraph" w:styleId="7">
    <w:name w:val="annotation text"/>
    <w:basedOn w:val="1"/>
    <w:qFormat/>
    <w:uiPriority w:val="0"/>
    <w:pPr>
      <w:jc w:val="left"/>
    </w:pPr>
  </w:style>
  <w:style w:type="paragraph" w:styleId="8">
    <w:name w:val="Salutation"/>
    <w:basedOn w:val="1"/>
    <w:next w:val="1"/>
    <w:link w:val="23"/>
    <w:qFormat/>
    <w:uiPriority w:val="0"/>
  </w:style>
  <w:style w:type="paragraph" w:styleId="9">
    <w:name w:val="Body Text"/>
    <w:basedOn w:val="1"/>
    <w:next w:val="1"/>
    <w:qFormat/>
    <w:uiPriority w:val="0"/>
    <w:pPr>
      <w:ind w:firstLine="640"/>
    </w:pPr>
    <w:rPr>
      <w:rFonts w:ascii="仿宋_GB2312" w:hAnsi="仿宋_GB2312" w:cs="仿宋_GB2312"/>
      <w:szCs w:val="32"/>
    </w:rPr>
  </w:style>
  <w:style w:type="paragraph" w:styleId="10">
    <w:name w:val="Balloon Text"/>
    <w:basedOn w:val="1"/>
    <w:link w:val="22"/>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pPr>
      <w:ind w:firstLine="0" w:firstLineChars="0"/>
    </w:pPr>
    <w:rPr>
      <w:sz w:val="30"/>
    </w:rPr>
  </w:style>
  <w:style w:type="paragraph" w:styleId="14">
    <w:name w:val="footnote text"/>
    <w:basedOn w:val="1"/>
    <w:next w:val="1"/>
    <w:qFormat/>
    <w:uiPriority w:val="0"/>
    <w:pPr>
      <w:snapToGrid w:val="0"/>
      <w:jc w:val="left"/>
    </w:pPr>
    <w:rPr>
      <w:sz w:val="18"/>
    </w:rPr>
  </w:style>
  <w:style w:type="paragraph" w:styleId="15">
    <w:name w:val="toc 2"/>
    <w:basedOn w:val="1"/>
    <w:next w:val="1"/>
    <w:qFormat/>
    <w:uiPriority w:val="0"/>
    <w:rPr>
      <w:sz w:val="30"/>
    </w:rPr>
  </w:style>
  <w:style w:type="paragraph" w:styleId="16">
    <w:name w:val="Normal (Web)"/>
    <w:basedOn w:val="1"/>
    <w:qFormat/>
    <w:uiPriority w:val="0"/>
    <w:rPr>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character" w:styleId="21">
    <w:name w:val="footnote reference"/>
    <w:basedOn w:val="19"/>
    <w:qFormat/>
    <w:uiPriority w:val="0"/>
    <w:rPr>
      <w:vertAlign w:val="superscript"/>
    </w:rPr>
  </w:style>
  <w:style w:type="character" w:customStyle="1" w:styleId="22">
    <w:name w:val="批注框文本 字符"/>
    <w:basedOn w:val="19"/>
    <w:link w:val="10"/>
    <w:qFormat/>
    <w:uiPriority w:val="0"/>
    <w:rPr>
      <w:rFonts w:ascii="Calibri" w:hAnsi="Calibri" w:eastAsia="仿宋" w:cs="Times New Roman"/>
      <w:kern w:val="2"/>
      <w:sz w:val="18"/>
      <w:szCs w:val="18"/>
    </w:rPr>
  </w:style>
  <w:style w:type="character" w:customStyle="1" w:styleId="23">
    <w:name w:val="称呼 字符"/>
    <w:basedOn w:val="19"/>
    <w:link w:val="8"/>
    <w:qFormat/>
    <w:uiPriority w:val="0"/>
    <w:rPr>
      <w:rFonts w:ascii="Calibri" w:hAnsi="Calibri" w:eastAsia="仿宋" w:cs="Times New Roman"/>
      <w:kern w:val="2"/>
      <w:sz w:val="32"/>
      <w:szCs w:val="24"/>
    </w:rPr>
  </w:style>
  <w:style w:type="character" w:customStyle="1" w:styleId="24">
    <w:name w:val="标题 2 字符"/>
    <w:basedOn w:val="19"/>
    <w:link w:val="5"/>
    <w:qFormat/>
    <w:uiPriority w:val="0"/>
    <w:rPr>
      <w:rFonts w:ascii="Arial" w:hAnsi="Arial" w:eastAsia="黑体" w:cs="Times New Roman"/>
      <w:kern w:val="2"/>
      <w:sz w:val="32"/>
      <w:szCs w:val="24"/>
    </w:rPr>
  </w:style>
  <w:style w:type="paragraph" w:customStyle="1" w:styleId="25">
    <w:name w:val="正文 New"/>
    <w:qFormat/>
    <w:uiPriority w:val="0"/>
    <w:pPr>
      <w:widowControl w:val="0"/>
      <w:jc w:val="both"/>
    </w:pPr>
    <w:rPr>
      <w:rFonts w:ascii="Calibri" w:hAnsi="Calibri" w:eastAsia="宋体" w:cs="黑体"/>
      <w:kern w:val="2"/>
      <w:sz w:val="21"/>
      <w:szCs w:val="22"/>
      <w:lang w:val="en-US" w:eastAsia="zh-CN" w:bidi="ar-SA"/>
    </w:rPr>
  </w:style>
  <w:style w:type="paragraph" w:customStyle="1" w:styleId="26">
    <w:name w:val="专栏标题"/>
    <w:basedOn w:val="1"/>
    <w:next w:val="1"/>
    <w:qFormat/>
    <w:uiPriority w:val="0"/>
    <w:pPr>
      <w:ind w:firstLine="0" w:firstLineChars="0"/>
      <w:jc w:val="center"/>
    </w:pPr>
    <w:rPr>
      <w:rFonts w:eastAsia="黑体"/>
      <w:sz w:val="30"/>
    </w:rPr>
  </w:style>
  <w:style w:type="paragraph" w:customStyle="1" w:styleId="27">
    <w:name w:val="称呼1"/>
    <w:basedOn w:val="1"/>
    <w:next w:val="1"/>
    <w:qFormat/>
    <w:uiPriority w:val="0"/>
    <w:rPr>
      <w:rFonts w:ascii="Calibri" w:hAnsi="Calibri" w:eastAsia="仿宋" w:cs="黑体"/>
    </w:rPr>
  </w:style>
  <w:style w:type="paragraph" w:customStyle="1" w:styleId="28">
    <w:name w:val="样式1"/>
    <w:basedOn w:val="1"/>
    <w:next w:val="1"/>
    <w:qFormat/>
    <w:uiPriority w:val="0"/>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
    <w:name w:val="表格内容"/>
    <w:basedOn w:val="26"/>
    <w:qFormat/>
    <w:uiPriority w:val="0"/>
    <w:pPr>
      <w:spacing w:line="440" w:lineRule="exact"/>
    </w:pPr>
    <w:rPr>
      <w:rFonts w:eastAsia="仿宋"/>
      <w:sz w:val="24"/>
    </w:rPr>
  </w:style>
  <w:style w:type="paragraph" w:customStyle="1" w:styleId="32">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FZSYJW--GB1-0"/>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pn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I:\&#24800;&#24030;&#24066;&#21313;&#22235;&#20116;&#35268;&#21010;&#32434;&#35201;\&#21313;&#19977;&#20116;&#32463;&#27982;&#25351;&#26631;&#65288;&#30465;&#23616;&#32508;&#21512;&#22788;&#6528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I:\&#24800;&#24030;&#24066;&#21313;&#22235;&#20116;&#35268;&#21010;&#32434;&#35201;\&#21313;&#19977;&#20116;&#32463;&#27982;&#25351;&#26631;&#65288;&#30465;&#23616;&#32508;&#21512;&#22788;&#65289;.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yucui0791\Desktop\&#24037;&#20316;&#31807;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yucui0791\Desktop\&#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'[十三五经济指标（省局综合处）.xlsx]Sheet2'!$S$5:$W$5</c:f>
              <c:strCache>
                <c:ptCount val="5"/>
                <c:pt idx="0">
                  <c:v>2016年</c:v>
                </c:pt>
                <c:pt idx="1">
                  <c:v>2017年</c:v>
                </c:pt>
                <c:pt idx="2">
                  <c:v>2018年</c:v>
                </c:pt>
                <c:pt idx="3">
                  <c:v>2019年</c:v>
                </c:pt>
                <c:pt idx="4">
                  <c:v>2020年</c:v>
                </c:pt>
              </c:strCache>
            </c:strRef>
          </c:cat>
          <c:val>
            <c:numRef>
              <c:f>'[十三五经济指标（省局综合处）.xlsx]Sheet2'!$S$6:$W$6</c:f>
              <c:numCache>
                <c:formatCode>0_ </c:formatCode>
                <c:ptCount val="5"/>
                <c:pt idx="0">
                  <c:v>3360</c:v>
                </c:pt>
                <c:pt idx="1">
                  <c:v>3745.75</c:v>
                </c:pt>
                <c:pt idx="2">
                  <c:v>4003.33</c:v>
                </c:pt>
                <c:pt idx="3">
                  <c:v>4193</c:v>
                </c:pt>
                <c:pt idx="4">
                  <c:v>4221.79</c:v>
                </c:pt>
              </c:numCache>
            </c:numRef>
          </c:val>
        </c:ser>
        <c:dLbls>
          <c:showLegendKey val="0"/>
          <c:showVal val="1"/>
          <c:showCatName val="0"/>
          <c:showSerName val="0"/>
          <c:showPercent val="0"/>
          <c:showBubbleSize val="0"/>
        </c:dLbls>
        <c:gapWidth val="219"/>
        <c:overlap val="-27"/>
        <c:axId val="497882343"/>
        <c:axId val="666688390"/>
      </c:barChart>
      <c:catAx>
        <c:axId val="49788234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6688390"/>
        <c:crosses val="autoZero"/>
        <c:auto val="1"/>
        <c:lblAlgn val="ctr"/>
        <c:lblOffset val="100"/>
        <c:noMultiLvlLbl val="0"/>
      </c:catAx>
      <c:valAx>
        <c:axId val="666688390"/>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7882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'[十三五经济指标（省局综合处）.xlsx]Sheet2'!$Y$5:$AA$5</c:f>
              <c:strCache>
                <c:ptCount val="3"/>
                <c:pt idx="0">
                  <c:v>十二五末</c:v>
                </c:pt>
                <c:pt idx="1">
                  <c:v>十三五末</c:v>
                </c:pt>
                <c:pt idx="2">
                  <c:v>十四五末</c:v>
                </c:pt>
              </c:strCache>
            </c:strRef>
          </c:cat>
          <c:val>
            <c:numRef>
              <c:f>'[十三五经济指标（省局综合处）.xlsx]Sheet2'!$Y$6:$AA$6</c:f>
              <c:numCache>
                <c:formatCode>General</c:formatCode>
                <c:ptCount val="3"/>
                <c:pt idx="0">
                  <c:v>3090</c:v>
                </c:pt>
                <c:pt idx="1">
                  <c:v>4222</c:v>
                </c:pt>
                <c:pt idx="2">
                  <c:v>6000</c:v>
                </c:pt>
              </c:numCache>
            </c:numRef>
          </c:val>
        </c:ser>
        <c:dLbls>
          <c:showLegendKey val="0"/>
          <c:showVal val="1"/>
          <c:showCatName val="0"/>
          <c:showSerName val="0"/>
          <c:showPercent val="0"/>
          <c:showBubbleSize val="0"/>
        </c:dLbls>
        <c:gapWidth val="219"/>
        <c:overlap val="-27"/>
        <c:axId val="625938805"/>
        <c:axId val="992484478"/>
      </c:barChart>
      <c:catAx>
        <c:axId val="62593880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484478"/>
        <c:crosses val="autoZero"/>
        <c:auto val="1"/>
        <c:lblAlgn val="ctr"/>
        <c:lblOffset val="100"/>
        <c:noMultiLvlLbl val="0"/>
      </c:catAx>
      <c:valAx>
        <c:axId val="99248447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593880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[工作簿1.xlsx]Sheet1!$C$73:$E$73</c:f>
              <c:strCache>
                <c:ptCount val="3"/>
                <c:pt idx="0">
                  <c:v>十二五</c:v>
                </c:pt>
                <c:pt idx="1">
                  <c:v>十三五</c:v>
                </c:pt>
                <c:pt idx="2">
                  <c:v>十四五</c:v>
                </c:pt>
              </c:strCache>
            </c:strRef>
          </c:cat>
          <c:val>
            <c:numRef>
              <c:f>[工作簿1.xlsx]Sheet1!$C$74:$E$74</c:f>
              <c:numCache>
                <c:formatCode>General</c:formatCode>
                <c:ptCount val="3"/>
                <c:pt idx="0">
                  <c:v>7106</c:v>
                </c:pt>
                <c:pt idx="1">
                  <c:v>10640</c:v>
                </c:pt>
                <c:pt idx="2">
                  <c:v>16000</c:v>
                </c:pt>
              </c:numCache>
            </c:numRef>
          </c:val>
        </c:ser>
        <c:dLbls>
          <c:showLegendKey val="0"/>
          <c:showVal val="1"/>
          <c:showCatName val="0"/>
          <c:showSerName val="0"/>
          <c:showPercent val="0"/>
          <c:showBubbleSize val="0"/>
        </c:dLbls>
        <c:gapWidth val="219"/>
        <c:overlap val="-27"/>
        <c:axId val="827272642"/>
        <c:axId val="865915780"/>
      </c:barChart>
      <c:catAx>
        <c:axId val="82727264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5915780"/>
        <c:crosses val="autoZero"/>
        <c:auto val="1"/>
        <c:lblAlgn val="ctr"/>
        <c:lblOffset val="100"/>
        <c:noMultiLvlLbl val="0"/>
      </c:catAx>
      <c:valAx>
        <c:axId val="8659157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27264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8643271621995"/>
          <c:y val="0.0526441732471883"/>
          <c:w val="0.882619508151423"/>
          <c:h val="0.83211294568078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[工作簿1.xlsx]Sheet1!$C$77:$E$77</c:f>
              <c:strCache>
                <c:ptCount val="3"/>
                <c:pt idx="0">
                  <c:v>十二五</c:v>
                </c:pt>
                <c:pt idx="1">
                  <c:v>十三五</c:v>
                </c:pt>
                <c:pt idx="2">
                  <c:v>十四五</c:v>
                </c:pt>
              </c:strCache>
            </c:strRef>
          </c:cat>
          <c:val>
            <c:numRef>
              <c:f>[工作簿1.xlsx]Sheet1!$C$78:$E$78</c:f>
              <c:numCache>
                <c:formatCode>General</c:formatCode>
                <c:ptCount val="3"/>
                <c:pt idx="0">
                  <c:v>2320</c:v>
                </c:pt>
                <c:pt idx="1">
                  <c:v>3208</c:v>
                </c:pt>
                <c:pt idx="2">
                  <c:v>4760</c:v>
                </c:pt>
              </c:numCache>
            </c:numRef>
          </c:val>
        </c:ser>
        <c:dLbls>
          <c:showLegendKey val="0"/>
          <c:showVal val="1"/>
          <c:showCatName val="0"/>
          <c:showSerName val="0"/>
          <c:showPercent val="0"/>
          <c:showBubbleSize val="0"/>
        </c:dLbls>
        <c:gapWidth val="219"/>
        <c:overlap val="-27"/>
        <c:axId val="300153157"/>
        <c:axId val="569952043"/>
      </c:barChart>
      <c:catAx>
        <c:axId val="30015315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9952043"/>
        <c:crosses val="autoZero"/>
        <c:auto val="1"/>
        <c:lblAlgn val="ctr"/>
        <c:lblOffset val="100"/>
        <c:noMultiLvlLbl val="0"/>
      </c:catAx>
      <c:valAx>
        <c:axId val="5699520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015315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A1F045-1B8E-4784-8D24-524613FD844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139</Pages>
  <Words>11170</Words>
  <Characters>63675</Characters>
  <Lines>530</Lines>
  <Paragraphs>149</Paragraphs>
  <TotalTime>10</TotalTime>
  <ScaleCrop>false</ScaleCrop>
  <LinksUpToDate>false</LinksUpToDate>
  <CharactersWithSpaces>74696</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2021-06-04T02:30:00Z</dcterms:created>
  <dc:creator>清葵</dc:creator>
  <cp:lastModifiedBy>蓝志辉</cp:lastModifiedBy>
  <cp:lastPrinted>2021-02-24T10:55:00Z</cp:lastPrinted>
  <dcterms:modified xsi:type="dcterms:W3CDTF">2021-06-04T07:50:33Z</dcterms:modified>
  <dc:title>惠州市国民经济和社会发展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9201EBAF7C6049B1B36C5A68F002CC5E</vt:lpwstr>
  </property>
</Properties>
</file>